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6" w:name="X3fece8581550a2ef045f47c6c31efd47b124784"/>
    <w:p>
      <w:pPr>
        <w:pStyle w:val="Heading1"/>
      </w:pPr>
      <w:r>
        <w:t xml:space="preserve">Comprehensive Marketing Plan for Academic Researcher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position and promote the professional services of an</w:t>
      </w:r>
      <w:r>
        <w:t xml:space="preserve"> </w:t>
      </w:r>
      <w:r>
        <w:rPr>
          <w:bCs/>
          <w:b/>
        </w:rPr>
        <w:t xml:space="preserve">Academic Researcher</w:t>
      </w:r>
      <w:r>
        <w:t xml:space="preserve"> </w:t>
      </w:r>
      <w:r>
        <w:t xml:space="preserve">within the dynamic academic ecosystem of</w:t>
      </w:r>
      <w:r>
        <w:t xml:space="preserve"> </w:t>
      </w:r>
      <w:r>
        <w:rPr>
          <w:bCs/>
          <w:b/>
        </w:rPr>
        <w:t xml:space="preserve">Kazakhstan Almaty</w:t>
      </w:r>
      <w:r>
        <w:t xml:space="preserve">. As Kazakhstan accelerates its national innovation agenda through initiatives like "Digital Kazakhstan" and "Scientific Development Strategy 2020-2035," demand for high-caliber research expertise in Almaty has surged. This plan targets key stakeholders including universities, government research bodies, and private sector R&amp;D departments to establish a premier</w:t>
      </w:r>
      <w:r>
        <w:t xml:space="preserve"> </w:t>
      </w:r>
      <w:r>
        <w:rPr>
          <w:bCs/>
          <w:b/>
        </w:rPr>
        <w:t xml:space="preserve">Academic Researcher</w:t>
      </w:r>
      <w:r>
        <w:t xml:space="preserve"> </w:t>
      </w:r>
      <w:r>
        <w:t xml:space="preserve">service provider brand in Central Asia's intellectual hub.</w:t>
      </w:r>
    </w:p>
    <w:bookmarkEnd w:id="20"/>
    <w:bookmarkStart w:id="22" w:name="X7d95ed547fac64885e0146e24d624e4b925d24a"/>
    <w:p>
      <w:pPr>
        <w:pStyle w:val="Heading2"/>
      </w:pPr>
      <w:r>
        <w:t xml:space="preserve">Market Analysis: Academic Research Landscape in Kazakhstan Almaty</w:t>
      </w:r>
    </w:p>
    <w:p>
      <w:pPr>
        <w:pStyle w:val="FirstParagraph"/>
      </w:pPr>
      <w:r>
        <w:rPr>
          <w:bCs/>
          <w:b/>
        </w:rPr>
        <w:t xml:space="preserve">Kazakhstan Almaty</w:t>
      </w:r>
      <w:r>
        <w:t xml:space="preserve"> </w:t>
      </w:r>
      <w:r>
        <w:t xml:space="preserve">hosts 40% of the nation's higher education institutions and 65% of research publications. The city serves as a critical nexus for Central Asian academia, with universities like Kazakh National University (KNU) and Al-Farabi Kazakh National University driving regional knowledge production. However, a significant gap exists between research capacity and industry needs—only 28% of academic studies address commercial applications per 2023 National Science Foundation reports. This creates an urgent opportunity for specialized</w:t>
      </w:r>
      <w:r>
        <w:t xml:space="preserve"> </w:t>
      </w:r>
      <w:r>
        <w:rPr>
          <w:bCs/>
          <w:b/>
        </w:rPr>
        <w:t xml:space="preserve">Academic Researcher</w:t>
      </w:r>
      <w:r>
        <w:t xml:space="preserve"> </w:t>
      </w:r>
      <w:r>
        <w:t xml:space="preserve">services that bridge theoretical knowledge with practical solutions.</w:t>
      </w:r>
    </w:p>
    <w:bookmarkStart w:id="21" w:name="key-market-drivers-in-almaty"/>
    <w:p>
      <w:pPr>
        <w:pStyle w:val="Heading3"/>
      </w:pPr>
      <w:r>
        <w:t xml:space="preserve">Key Market Drivers in Almaty</w:t>
      </w:r>
    </w:p>
    <w:p>
      <w:pPr>
        <w:numPr>
          <w:ilvl w:val="0"/>
          <w:numId w:val="1001"/>
        </w:numPr>
        <w:pStyle w:val="Compact"/>
      </w:pPr>
      <w:r>
        <w:rPr>
          <w:bCs/>
          <w:b/>
        </w:rPr>
        <w:t xml:space="preserve">National Priority Shifts:</w:t>
      </w:r>
      <w:r>
        <w:t xml:space="preserve"> </w:t>
      </w:r>
      <w:r>
        <w:t xml:space="preserve">Government funding for STEM research increased by 18% YoY (2023), targeting clean energy, AI, and biotechnology sectors.</w:t>
      </w:r>
    </w:p>
    <w:p>
      <w:pPr>
        <w:numPr>
          <w:ilvl w:val="0"/>
          <w:numId w:val="1001"/>
        </w:numPr>
        <w:pStyle w:val="Compact"/>
      </w:pPr>
      <w:r>
        <w:rPr>
          <w:bCs/>
          <w:b/>
        </w:rPr>
        <w:t xml:space="preserve">Industry-Academia Collaboration:</w:t>
      </w:r>
      <w:r>
        <w:t xml:space="preserve"> </w:t>
      </w:r>
      <w:r>
        <w:t xml:space="preserve">New regulations mandate university-industry research partnerships for all major grants.</w:t>
      </w:r>
    </w:p>
    <w:p>
      <w:pPr>
        <w:numPr>
          <w:ilvl w:val="0"/>
          <w:numId w:val="1001"/>
        </w:numPr>
        <w:pStyle w:val="Compact"/>
      </w:pPr>
      <w:r>
        <w:rPr>
          <w:bCs/>
          <w:b/>
        </w:rPr>
        <w:t xml:space="preserve">Talent Shortage:</w:t>
      </w:r>
      <w:r>
        <w:t xml:space="preserve"> </w:t>
      </w:r>
      <w:r>
        <w:t xml:space="preserve">15% vacancy rate for specialized research roles in Almaty's emerging tech clusters (per Kazakhstan Ministry of Education).</w:t>
      </w:r>
    </w:p>
    <w:bookmarkEnd w:id="21"/>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within</w:t>
      </w:r>
      <w:r>
        <w:t xml:space="preserve"> </w:t>
      </w:r>
      <w:r>
        <w:rPr>
          <w:bCs/>
          <w:b/>
        </w:rPr>
        <w:t xml:space="preserve">Kazakhstan Almaty</w:t>
      </w:r>
      <w:r>
        <w:t xml:space="preserve">:</w:t>
      </w:r>
    </w:p>
    <w:bookmarkStart w:id="23" w:name="higher-education-institutions"/>
    <w:p>
      <w:pPr>
        <w:pStyle w:val="Heading3"/>
      </w:pPr>
      <w:r>
        <w:t xml:space="preserve">1. Higher Education Institutions</w:t>
      </w:r>
    </w:p>
    <w:p>
      <w:pPr>
        <w:pStyle w:val="FirstParagraph"/>
      </w:pPr>
      <w:r>
        <w:t xml:space="preserve">Primary: 15+ universities in Almaty seeking research support for grant applications, curriculum development, and international accreditation (e.g., EQAR compliance). Secondary: Department heads needing rapid data analysis for strategic planning.</w:t>
      </w:r>
    </w:p>
    <w:bookmarkEnd w:id="23"/>
    <w:bookmarkStart w:id="24" w:name="government-research-agencies"/>
    <w:p>
      <w:pPr>
        <w:pStyle w:val="Heading3"/>
      </w:pPr>
      <w:r>
        <w:t xml:space="preserve">2. Government Research Agencies</w:t>
      </w:r>
    </w:p>
    <w:p>
      <w:pPr>
        <w:pStyle w:val="FirstParagraph"/>
      </w:pPr>
      <w:r>
        <w:t xml:space="preserve">Targets: National Science Committee, Ministry of Education projects requiring technical research support in priority areas (agricultural tech, materials science).</w:t>
      </w:r>
    </w:p>
    <w:bookmarkEnd w:id="24"/>
    <w:bookmarkStart w:id="25" w:name="corporate-rd-departments"/>
    <w:p>
      <w:pPr>
        <w:pStyle w:val="Heading3"/>
      </w:pPr>
      <w:r>
        <w:t xml:space="preserve">3. Corporate R&amp;D Departments</w:t>
      </w:r>
    </w:p>
    <w:p>
      <w:pPr>
        <w:pStyle w:val="FirstParagraph"/>
      </w:pPr>
      <w:r>
        <w:t xml:space="preserve">Focus on Almaty-based multinationals (KazMunayGas, Dostyk Pharma) and startups seeking market research, patent analysis, or technology validation.</w:t>
      </w:r>
    </w:p>
    <w:bookmarkEnd w:id="25"/>
    <w:bookmarkEnd w:id="26"/>
    <w:bookmarkStart w:id="27" w:name="Xef06f8e74263154570f0274b45ba8b0bf4a1cb4"/>
    <w:p>
      <w:pPr>
        <w:pStyle w:val="Heading2"/>
      </w:pPr>
      <w:r>
        <w:t xml:space="preserve">Marketing Objectives for Academic Researcher Services</w:t>
      </w:r>
    </w:p>
    <w:p>
      <w:pPr>
        <w:numPr>
          <w:ilvl w:val="0"/>
          <w:numId w:val="1002"/>
        </w:numPr>
        <w:pStyle w:val="Compact"/>
      </w:pPr>
      <w:r>
        <w:rPr>
          <w:bCs/>
          <w:b/>
        </w:rPr>
        <w:t xml:space="preserve">Brand Positioning:</w:t>
      </w:r>
      <w:r>
        <w:t xml:space="preserve"> </w:t>
      </w:r>
      <w:r>
        <w:t xml:space="preserve">Establish as the leading provider of specialized research services among academic professionals in Almaty by Q3 2025.</w:t>
      </w:r>
    </w:p>
    <w:p>
      <w:pPr>
        <w:numPr>
          <w:ilvl w:val="0"/>
          <w:numId w:val="1002"/>
        </w:numPr>
        <w:pStyle w:val="Compact"/>
      </w:pPr>
      <w:r>
        <w:rPr>
          <w:bCs/>
          <w:b/>
        </w:rPr>
        <w:t xml:space="preserve">Metric Targets:</w:t>
      </w:r>
      <w:r>
        <w:t xml:space="preserve"> </w:t>
      </w:r>
      <w:r>
        <w:t xml:space="preserve">Secure 12 institutional contracts within Year 1, achieving $350,000 in service revenue with 75% client retention rate.</w:t>
      </w:r>
    </w:p>
    <w:p>
      <w:pPr>
        <w:numPr>
          <w:ilvl w:val="0"/>
          <w:numId w:val="1002"/>
        </w:numPr>
        <w:pStyle w:val="Compact"/>
      </w:pPr>
      <w:r>
        <w:rPr>
          <w:bCs/>
          <w:b/>
        </w:rPr>
        <w:t xml:space="preserve">Market Penetration:</w:t>
      </w:r>
      <w:r>
        <w:t xml:space="preserve"> </w:t>
      </w:r>
      <w:r>
        <w:t xml:space="preserve">Capture 18% share of the Almaty research outsourcing market (estimated $2.1M annually) within 24 months.</w:t>
      </w:r>
    </w:p>
    <w:bookmarkEnd w:id="27"/>
    <w:bookmarkStart w:id="28" w:name="core-value-proposition"/>
    <w:p>
      <w:pPr>
        <w:pStyle w:val="Heading2"/>
      </w:pPr>
      <w:r>
        <w:t xml:space="preserve">Core Value Proposition</w:t>
      </w:r>
    </w:p>
    <w:p>
      <w:pPr>
        <w:pStyle w:val="FirstParagraph"/>
      </w:pPr>
      <w:r>
        <w:t xml:space="preserve">Our</w:t>
      </w:r>
      <w:r>
        <w:t xml:space="preserve"> </w:t>
      </w:r>
      <w:r>
        <w:rPr>
          <w:bCs/>
          <w:b/>
        </w:rPr>
        <w:t xml:space="preserve">Academic Researcher</w:t>
      </w:r>
      <w:r>
        <w:t xml:space="preserve"> </w:t>
      </w:r>
      <w:r>
        <w:t xml:space="preserve">services deliver three critical advantages for</w:t>
      </w:r>
      <w:r>
        <w:t xml:space="preserve"> </w:t>
      </w:r>
      <w:r>
        <w:rPr>
          <w:bCs/>
          <w:b/>
        </w:rPr>
        <w:t xml:space="preserve">Kazakhstan Almaty</w:t>
      </w:r>
      <w:r>
        <w:t xml:space="preserve">'s innovation landscape:</w:t>
      </w:r>
    </w:p>
    <w:p>
      <w:pPr>
        <w:numPr>
          <w:ilvl w:val="0"/>
          <w:numId w:val="1003"/>
        </w:numPr>
        <w:pStyle w:val="Compact"/>
      </w:pPr>
      <w:r>
        <w:rPr>
          <w:iCs/>
          <w:i/>
        </w:rPr>
        <w:t xml:space="preserve">Localized Expertise:</w:t>
      </w:r>
      <w:r>
        <w:t xml:space="preserve"> </w:t>
      </w:r>
      <w:r>
        <w:t xml:space="preserve">Deep understanding of Kazakhstani academic standards, cultural context, and government regulations.</w:t>
      </w:r>
    </w:p>
    <w:p>
      <w:pPr>
        <w:numPr>
          <w:ilvl w:val="0"/>
          <w:numId w:val="1003"/>
        </w:numPr>
        <w:pStyle w:val="Compact"/>
      </w:pPr>
      <w:r>
        <w:rPr>
          <w:iCs/>
          <w:i/>
        </w:rPr>
        <w:t xml:space="preserve">Industry-Aligned Research:</w:t>
      </w:r>
      <w:r>
        <w:t xml:space="preserve"> </w:t>
      </w:r>
      <w:r>
        <w:t xml:space="preserve">Solutions designed for immediate application in Almaty's priority sectors (agritech, energy transition).</w:t>
      </w:r>
    </w:p>
    <w:p>
      <w:pPr>
        <w:numPr>
          <w:ilvl w:val="0"/>
          <w:numId w:val="1003"/>
        </w:numPr>
        <w:pStyle w:val="Compact"/>
      </w:pPr>
      <w:r>
        <w:rPr>
          <w:iCs/>
          <w:i/>
        </w:rPr>
        <w:t xml:space="preserve">Cross-Border Collaboration:</w:t>
      </w:r>
      <w:r>
        <w:t xml:space="preserve"> </w:t>
      </w:r>
      <w:r>
        <w:t xml:space="preserve">Facilitate partnerships between Almaty-based researchers and global institutions (EU, China, USA) through our network.</w:t>
      </w:r>
    </w:p>
    <w:bookmarkEnd w:id="28"/>
    <w:bookmarkStart w:id="32" w:name="marketing-strategies-tactics"/>
    <w:p>
      <w:pPr>
        <w:pStyle w:val="Heading2"/>
      </w:pPr>
      <w:r>
        <w:t xml:space="preserve">Marketing Strategies &amp; Tactics</w:t>
      </w:r>
    </w:p>
    <w:bookmarkStart w:id="29" w:name="Xe4f1bf0c89b7778c5a8440b7e2574549f3fcefb"/>
    <w:p>
      <w:pPr>
        <w:pStyle w:val="Heading3"/>
      </w:pPr>
      <w:r>
        <w:t xml:space="preserve">1. Digital Presence &amp; Content Marketing (Almaty-Centric)</w:t>
      </w:r>
    </w:p>
    <w:p>
      <w:pPr>
        <w:pStyle w:val="FirstParagraph"/>
      </w:pPr>
      <w:r>
        <w:t xml:space="preserve">Develop a multilingual platform (</w:t>
      </w:r>
      <w:r>
        <w:rPr>
          <w:iCs/>
          <w:i/>
        </w:rPr>
        <w:t xml:space="preserve">Kazakh/English/Russian</w:t>
      </w:r>
      <w:r>
        <w:t xml:space="preserve">) featuring:</w:t>
      </w:r>
    </w:p>
    <w:p>
      <w:pPr>
        <w:numPr>
          <w:ilvl w:val="0"/>
          <w:numId w:val="1004"/>
        </w:numPr>
        <w:pStyle w:val="Compact"/>
      </w:pPr>
      <w:r>
        <w:rPr>
          <w:bCs/>
          <w:b/>
        </w:rPr>
        <w:t xml:space="preserve">Case Studies:</w:t>
      </w:r>
      <w:r>
        <w:t xml:space="preserve"> </w:t>
      </w:r>
      <w:r>
        <w:t xml:space="preserve">Showcasing Almaty-specific successes: e.g., "AI-driven crop yield analysis for Astana-based agricultural tech startup."</w:t>
      </w:r>
    </w:p>
    <w:p>
      <w:pPr>
        <w:numPr>
          <w:ilvl w:val="0"/>
          <w:numId w:val="1004"/>
        </w:numPr>
        <w:pStyle w:val="Compact"/>
      </w:pPr>
      <w:r>
        <w:rPr>
          <w:bCs/>
          <w:b/>
        </w:rPr>
        <w:t xml:space="preserve">Local Thought Leadership:</w:t>
      </w:r>
      <w:r>
        <w:t xml:space="preserve"> </w:t>
      </w:r>
      <w:r>
        <w:t xml:space="preserve">Publishing whitepapers on "Research Commercialization Frameworks for Kazakhstan's Emerging Sectors" co-authored with Almaty University professors.</w:t>
      </w:r>
    </w:p>
    <w:p>
      <w:pPr>
        <w:numPr>
          <w:ilvl w:val="0"/>
          <w:numId w:val="1004"/>
        </w:numPr>
        <w:pStyle w:val="Compact"/>
      </w:pPr>
      <w:r>
        <w:rPr>
          <w:bCs/>
          <w:b/>
        </w:rPr>
        <w:t xml:space="preserve">SEO Optimization:</w:t>
      </w:r>
      <w:r>
        <w:t xml:space="preserve"> </w:t>
      </w:r>
      <w:r>
        <w:t xml:space="preserve">Targeting keywords: "academic researcher Almaty," "research services Kazakhstan," "grant writing expert Almaty."</w:t>
      </w:r>
    </w:p>
    <w:bookmarkEnd w:id="29"/>
    <w:bookmarkStart w:id="30" w:name="strategic-partnerships-in-kazakhstan"/>
    <w:p>
      <w:pPr>
        <w:pStyle w:val="Heading3"/>
      </w:pPr>
      <w:r>
        <w:t xml:space="preserve">2. Strategic Partnerships in Kazakhstan</w:t>
      </w:r>
    </w:p>
    <w:p>
      <w:pPr>
        <w:pStyle w:val="FirstParagraph"/>
      </w:pPr>
      <w:r>
        <w:t xml:space="preserve">Cultivate alliances with key Almaty institutions to build credibility:</w:t>
      </w:r>
    </w:p>
    <w:p>
      <w:pPr>
        <w:numPr>
          <w:ilvl w:val="0"/>
          <w:numId w:val="1005"/>
        </w:numPr>
        <w:pStyle w:val="Compact"/>
      </w:pPr>
      <w:r>
        <w:t xml:space="preserve">Co-host research symposia at KNU and Al-Farabi University with government funding bodies.</w:t>
      </w:r>
    </w:p>
    <w:p>
      <w:pPr>
        <w:numPr>
          <w:ilvl w:val="0"/>
          <w:numId w:val="1005"/>
        </w:numPr>
        <w:pStyle w:val="Compact"/>
      </w:pPr>
      <w:r>
        <w:t xml:space="preserve">Integrate our</w:t>
      </w:r>
      <w:r>
        <w:t xml:space="preserve"> </w:t>
      </w:r>
      <w:r>
        <w:rPr>
          <w:bCs/>
          <w:b/>
        </w:rPr>
        <w:t xml:space="preserve">Academic Researcher</w:t>
      </w:r>
      <w:r>
        <w:t xml:space="preserve"> </w:t>
      </w:r>
      <w:r>
        <w:t xml:space="preserve">services into university R&amp;D support programs (e.g., as a preferred vendor for grant proposal development).</w:t>
      </w:r>
    </w:p>
    <w:p>
      <w:pPr>
        <w:numPr>
          <w:ilvl w:val="0"/>
          <w:numId w:val="1005"/>
        </w:numPr>
        <w:pStyle w:val="Compact"/>
      </w:pPr>
      <w:r>
        <w:t xml:space="preserve">Create "Research Ambassador" roles at 3 major Almaty universities to facilitate referrals.</w:t>
      </w:r>
    </w:p>
    <w:bookmarkEnd w:id="30"/>
    <w:bookmarkStart w:id="31" w:name="targeted-outreach-in-almaty-ecosystem"/>
    <w:p>
      <w:pPr>
        <w:pStyle w:val="Heading3"/>
      </w:pPr>
      <w:r>
        <w:t xml:space="preserve">3. Targeted Outreach in Almaty Ecosystem</w:t>
      </w:r>
    </w:p>
    <w:p>
      <w:pPr>
        <w:pStyle w:val="FirstParagraph"/>
      </w:pPr>
      <w:r>
        <w:t xml:space="preserve">Leverage hyper-local engagement:</w:t>
      </w:r>
    </w:p>
    <w:p>
      <w:pPr>
        <w:numPr>
          <w:ilvl w:val="0"/>
          <w:numId w:val="1006"/>
        </w:numPr>
        <w:pStyle w:val="Compact"/>
      </w:pPr>
      <w:r>
        <w:rPr>
          <w:iCs/>
          <w:i/>
        </w:rPr>
        <w:t xml:space="preserve">Industry Events:</w:t>
      </w:r>
      <w:r>
        <w:t xml:space="preserve"> </w:t>
      </w:r>
      <w:r>
        <w:t xml:space="preserve">Sponsor sessions at Almaty's International Tech Forum (June 2024) and Science Week.</w:t>
      </w:r>
    </w:p>
    <w:p>
      <w:pPr>
        <w:numPr>
          <w:ilvl w:val="0"/>
          <w:numId w:val="1006"/>
        </w:numPr>
        <w:pStyle w:val="Compact"/>
      </w:pPr>
      <w:r>
        <w:rPr>
          <w:iCs/>
          <w:i/>
        </w:rPr>
        <w:t xml:space="preserve">Government Engagement:</w:t>
      </w:r>
      <w:r>
        <w:t xml:space="preserve"> </w:t>
      </w:r>
      <w:r>
        <w:t xml:space="preserve">Present service offerings at National Science Committee workshops on "Enhancing Research Impact."</w:t>
      </w:r>
    </w:p>
    <w:p>
      <w:pPr>
        <w:numPr>
          <w:ilvl w:val="0"/>
          <w:numId w:val="1006"/>
        </w:numPr>
        <w:pStyle w:val="Compact"/>
      </w:pPr>
      <w:r>
        <w:rPr>
          <w:iCs/>
          <w:i/>
        </w:rPr>
        <w:t xml:space="preserve">LinkedIn Campaigns:</w:t>
      </w:r>
      <w:r>
        <w:t xml:space="preserve"> </w:t>
      </w:r>
      <w:r>
        <w:t xml:space="preserve">Geo-targeted ads focusing on Almaty-based research directors using keywords: "researcher services," "Kazakhstan R&amp;D."</w:t>
      </w:r>
    </w:p>
    <w:bookmarkEnd w:id="31"/>
    <w:bookmarkEnd w:id="32"/>
    <w:bookmarkStart w:id="33"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Platform Development &amp; SEO</w:t>
            </w:r>
          </w:p>
        </w:tc>
        <w:tc>
          <w:tcPr/>
          <w:p>
            <w:pPr>
              <w:pStyle w:val="Compact"/>
              <w:jc w:val="left"/>
            </w:pPr>
            <w:r>
              <w:t xml:space="preserve">$38,000</w:t>
            </w:r>
          </w:p>
        </w:tc>
        <w:tc>
          <w:tcPr/>
          <w:p>
            <w:pPr>
              <w:pStyle w:val="Compact"/>
              <w:jc w:val="left"/>
            </w:pPr>
            <w:r>
              <w:t xml:space="preserve">50% lead generation from Almaty-based searches</w:t>
            </w:r>
          </w:p>
        </w:tc>
      </w:tr>
      <w:tr>
        <w:tc>
          <w:tcPr/>
          <w:p>
            <w:pPr>
              <w:pStyle w:val="Compact"/>
              <w:jc w:val="left"/>
            </w:pPr>
            <w:r>
              <w:t xml:space="preserve">Strategic Partnerships (University Events)</w:t>
            </w:r>
          </w:p>
        </w:tc>
        <w:tc>
          <w:tcPr/>
          <w:p>
            <w:pPr>
              <w:pStyle w:val="Compact"/>
              <w:jc w:val="left"/>
            </w:pPr>
            <w:r>
              <w:t xml:space="preserve">$42,500</w:t>
            </w:r>
          </w:p>
        </w:tc>
        <w:tc>
          <w:tcPr/>
          <w:p>
            <w:pPr>
              <w:pStyle w:val="Compact"/>
              <w:jc w:val="left"/>
            </w:pPr>
            <w:r>
              <w:t xml:space="preserve">12 institutional contracts; 8 joint projects</w:t>
            </w:r>
          </w:p>
        </w:tc>
      </w:tr>
      <w:tr>
        <w:tc>
          <w:tcPr/>
          <w:p>
            <w:pPr>
              <w:pStyle w:val="Compact"/>
              <w:jc w:val="left"/>
            </w:pPr>
            <w:r>
              <w:t xml:space="preserve">Almaty-Specific Content Creation</w:t>
            </w:r>
          </w:p>
        </w:tc>
        <w:tc>
          <w:tcPr/>
          <w:p>
            <w:pPr>
              <w:pStyle w:val="Compact"/>
              <w:jc w:val="left"/>
            </w:pPr>
            <w:r>
              <w:t xml:space="preserve">$25,000</w:t>
            </w:r>
          </w:p>
        </w:tc>
        <w:tc>
          <w:tcPr/>
          <w:p>
            <w:pPr>
              <w:pStyle w:val="Compact"/>
              <w:jc w:val="left"/>
            </w:pPr>
            <w:r>
              <w:t xml:space="preserve">15+ case studies targeting local industries</w:t>
            </w:r>
          </w:p>
        </w:tc>
      </w:tr>
      <w:tr>
        <w:tc>
          <w:tcPr/>
          <w:p>
            <w:pPr>
              <w:pStyle w:val="Compact"/>
              <w:jc w:val="left"/>
            </w:pPr>
            <w:r>
              <w:t xml:space="preserve">Trade Show Participation (Almaty Events)</w:t>
            </w:r>
          </w:p>
        </w:tc>
        <w:tc>
          <w:tcPr/>
          <w:p>
            <w:pPr>
              <w:pStyle w:val="Compact"/>
              <w:jc w:val="left"/>
            </w:pPr>
            <w:r>
              <w:t xml:space="preserve">$18,500</w:t>
            </w:r>
          </w:p>
        </w:tc>
        <w:tc>
          <w:tcPr/>
          <w:p>
            <w:pPr>
              <w:pStyle w:val="Compact"/>
              <w:jc w:val="left"/>
            </w:pPr>
            <w:r>
              <w:t xml:space="preserve">20+ qualified leads per event; 4 new contracts</w:t>
            </w:r>
          </w:p>
        </w:tc>
      </w:tr>
    </w:tbl>
    <w:bookmarkEnd w:id="33"/>
    <w:bookmarkStart w:id="34" w:name="milestones-timeline"/>
    <w:p>
      <w:pPr>
        <w:pStyle w:val="Heading2"/>
      </w:pPr>
      <w:r>
        <w:t xml:space="preserve">Milestones &amp; Timeline</w:t>
      </w:r>
    </w:p>
    <w:p>
      <w:pPr>
        <w:pStyle w:val="FirstParagraph"/>
      </w:pPr>
      <w:r>
        <w:rPr>
          <w:bCs/>
          <w:b/>
        </w:rPr>
        <w:t xml:space="preserve">Q1 2024:</w:t>
      </w:r>
      <w:r>
        <w:t xml:space="preserve"> </w:t>
      </w:r>
      <w:r>
        <w:t xml:space="preserve">Launch localized digital platform; secure partnerships with Al-Farabi University.</w:t>
      </w:r>
    </w:p>
    <w:p>
      <w:pPr>
        <w:pStyle w:val="BodyText"/>
      </w:pPr>
      <w:r>
        <w:rPr>
          <w:bCs/>
          <w:b/>
        </w:rPr>
        <w:t xml:space="preserve">Q3 2024:</w:t>
      </w:r>
      <w:r>
        <w:t xml:space="preserve"> </w:t>
      </w:r>
      <w:r>
        <w:t xml:space="preserve">Execute first Almaty Research Symposium (50+ attendees); onboard 3 corporate clients.</w:t>
      </w:r>
    </w:p>
    <w:p>
      <w:pPr>
        <w:pStyle w:val="BodyText"/>
      </w:pPr>
      <w:r>
        <w:rPr>
          <w:bCs/>
          <w:b/>
        </w:rPr>
        <w:t xml:space="preserve">H1 2025:</w:t>
      </w:r>
      <w:r>
        <w:t xml:space="preserve"> </w:t>
      </w:r>
      <w:r>
        <w:t xml:space="preserve">Achieve $185,000 revenue; expand services to include Kazakh language research support.</w:t>
      </w:r>
    </w:p>
    <w:p>
      <w:pPr>
        <w:pStyle w:val="BodyText"/>
      </w:pPr>
      <w:r>
        <w:rPr>
          <w:bCs/>
          <w:b/>
        </w:rPr>
        <w:t xml:space="preserve">Q4 2025:</w:t>
      </w:r>
      <w:r>
        <w:t xml:space="preserve"> </w:t>
      </w:r>
      <w:r>
        <w:t xml:space="preserve">Become top-rated academic research service in Kazakhstan per regional business surveys.</w:t>
      </w:r>
    </w:p>
    <w:bookmarkEnd w:id="34"/>
    <w:bookmarkStart w:id="35" w:name="conclusion-the-almaty-advantage"/>
    <w:p>
      <w:pPr>
        <w:pStyle w:val="Heading2"/>
      </w:pPr>
      <w:r>
        <w:t xml:space="preserve">Conclusion: The Almaty Advantage</w:t>
      </w:r>
    </w:p>
    <w:p>
      <w:pPr>
        <w:pStyle w:val="FirstParagraph"/>
      </w:pPr>
      <w:r>
        <w:t xml:space="preserve">This Marketing Plan positions the</w:t>
      </w:r>
      <w:r>
        <w:t xml:space="preserve"> </w:t>
      </w:r>
      <w:r>
        <w:rPr>
          <w:bCs/>
          <w:b/>
        </w:rPr>
        <w:t xml:space="preserve">Academic Researcher</w:t>
      </w:r>
      <w:r>
        <w:t xml:space="preserve"> </w:t>
      </w:r>
      <w:r>
        <w:t xml:space="preserve">as an indispensable catalyst for innovation within</w:t>
      </w:r>
      <w:r>
        <w:t xml:space="preserve"> </w:t>
      </w:r>
      <w:r>
        <w:rPr>
          <w:bCs/>
          <w:b/>
        </w:rPr>
        <w:t xml:space="preserve">Kazakhstan Almaty</w:t>
      </w:r>
      <w:r>
        <w:t xml:space="preserve">. By leveraging hyper-local market insights, institutional partnerships, and culturally attuned service delivery, we will transform how research talent is accessed across Central Asia. The plan directly addresses Kazakhstan's national priorities while creating sustainable value for academic professionals in Almaty. As the city emerges as a key knowledge hub between Europe and Asia, our services will become synonymous with cutting-edge research execution—proving that world-class</w:t>
      </w:r>
      <w:r>
        <w:t xml:space="preserve"> </w:t>
      </w:r>
      <w:r>
        <w:rPr>
          <w:bCs/>
          <w:b/>
        </w:rPr>
        <w:t xml:space="preserve">Academic Researcher</w:t>
      </w:r>
      <w:r>
        <w:t xml:space="preserve"> </w:t>
      </w:r>
      <w:r>
        <w:t xml:space="preserve">capabilities are not only available but thriving within</w:t>
      </w:r>
      <w:r>
        <w:t xml:space="preserve"> </w:t>
      </w:r>
      <w:r>
        <w:rPr>
          <w:bCs/>
          <w:b/>
        </w:rPr>
        <w:t xml:space="preserve">Kazakhstan Almaty</w:t>
      </w:r>
      <w:r>
        <w:t xml:space="preserve">.</w:t>
      </w:r>
    </w:p>
    <w:p>
      <w:pPr>
        <w:pStyle w:val="BodyText"/>
      </w:pPr>
      <w:r>
        <w:rPr>
          <w:iCs/>
          <w:i/>
        </w:rPr>
        <w:t xml:space="preserve">This Marketing Plan is a strategic blueprint for establishing dominance in the academic research services market across Kazakhstan, with Almaty as the launchpad for regional expansion. All initiatives prioritize localization, institutional credibility, and measurable impact aligned with Kazakhstan's scientific development roadmap.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Kazakhstan Almaty</dc:title>
  <dc:creator/>
  <dc:language>en</dc:language>
  <cp:keywords/>
  <dcterms:created xsi:type="dcterms:W3CDTF">2025-12-13T10:00:34Z</dcterms:created>
  <dcterms:modified xsi:type="dcterms:W3CDTF">2025-12-13T10:00:34Z</dcterms:modified>
</cp:coreProperties>
</file>

<file path=docProps/custom.xml><?xml version="1.0" encoding="utf-8"?>
<Properties xmlns="http://schemas.openxmlformats.org/officeDocument/2006/custom-properties" xmlns:vt="http://schemas.openxmlformats.org/officeDocument/2006/docPropsVTypes"/>
</file>