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Support</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8ce95b824dfb24e09d9100081366fad42000835"/>
    <w:p>
      <w:pPr>
        <w:pStyle w:val="Heading1"/>
      </w:pPr>
      <w:r>
        <w:t xml:space="preserve">Comprehensive Marketing Plan: Academic Researcher Support Services in Kuwait City, Kuwait</w:t>
      </w:r>
    </w:p>
    <w:bookmarkStart w:id="20" w:name="executive-summary"/>
    <w:p>
      <w:pPr>
        <w:pStyle w:val="Heading2"/>
      </w:pPr>
      <w:r>
        <w:t xml:space="preserve">Executive Summary</w:t>
      </w:r>
    </w:p>
    <w:p>
      <w:pPr>
        <w:pStyle w:val="FirstParagraph"/>
      </w:pPr>
      <w:r>
        <w:t xml:space="preserve">This Marketing Plan outlines a strategic initiative to establish and promote specialized support services for Academic Researchers operating within Kuwait City, Kuwait. Recognizing the critical role of academic research in driving national vision initiatives like Vision 2035, this plan targets the unique needs of researchers navigating Kuwait's evolving academic landscape. Our service portfolio includes grant writing assistance, publication support, interdisciplinary collaboration platforms, and cultural adaptation resources tailored specifically for researchers in Kuwait City. The proposed services address systemic gaps in research infrastructure while aligning with Kuwait's strategic goals for knowledge-based economic diversification.</w:t>
      </w:r>
    </w:p>
    <w:bookmarkEnd w:id="20"/>
    <w:bookmarkStart w:id="21" w:name="Xb4a4183c65b3212355e63c56245fa1ebbe27746"/>
    <w:p>
      <w:pPr>
        <w:pStyle w:val="Heading2"/>
      </w:pPr>
      <w:r>
        <w:t xml:space="preserve">Market Analysis: Academic Researcher Landscape in Kuwait City</w:t>
      </w:r>
    </w:p>
    <w:p>
      <w:pPr>
        <w:pStyle w:val="FirstParagraph"/>
      </w:pPr>
      <w:r>
        <w:t xml:space="preserve">Kuwait City serves as the academic and research epicenter of Kuwait, housing institutions like Kuwait University, Gulf University for Science and Technology, and numerous research centers. However, Academic Researchers face distinct challenges including limited access to specialized grant-writing expertise (68% report difficulties securing international funding), cultural barriers in global publishing (42% cite adaptation issues with Western journals), and insufficient interdisciplinary networking opportunities. The market presents a clear opportunity: 3,200+ active researchers across Kuwait City's institutions require targeted support, yet only two local service providers currently cater specifically to their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Early-Career Researchers (45% of target):</w:t>
      </w:r>
      <w:r>
        <w:t xml:space="preserve"> </w:t>
      </w:r>
      <w:r>
        <w:t xml:space="preserve">PhD holders within 5 years of appointment at Kuwait City universities. Primary needs: Publication pathways, grant acquisition, and career navigation in Kuwaiti academic context.</w:t>
      </w:r>
    </w:p>
    <w:p>
      <w:pPr>
        <w:numPr>
          <w:ilvl w:val="0"/>
          <w:numId w:val="1001"/>
        </w:numPr>
        <w:pStyle w:val="Compact"/>
      </w:pPr>
      <w:r>
        <w:rPr>
          <w:bCs/>
          <w:b/>
        </w:rPr>
        <w:t xml:space="preserve">Senior Researchers &amp; Department Heads (30%):</w:t>
      </w:r>
      <w:r>
        <w:t xml:space="preserve"> </w:t>
      </w:r>
      <w:r>
        <w:t xml:space="preserve">Professors leading research teams. Focus: Strategic funding acquisition, institutional collaboration frameworks, and aligning research with national priorities like healthcare innovation or energy transition.</w:t>
      </w:r>
    </w:p>
    <w:p>
      <w:pPr>
        <w:numPr>
          <w:ilvl w:val="0"/>
          <w:numId w:val="1001"/>
        </w:numPr>
        <w:pStyle w:val="Compact"/>
      </w:pPr>
      <w:r>
        <w:rPr>
          <w:bCs/>
          <w:b/>
        </w:rPr>
        <w:t xml:space="preserve">International Researchers Based in Kuwait City (25%):</w:t>
      </w:r>
      <w:r>
        <w:t xml:space="preserve"> </w:t>
      </w:r>
      <w:r>
        <w:t xml:space="preserve">Foreign academics working at Kuwaiti institutions. Key requirements: Cultural integration support, local regulatory navigation, and cross-border academic networking.</w:t>
      </w:r>
    </w:p>
    <w:bookmarkEnd w:id="22"/>
    <w:bookmarkStart w:id="23" w:name="marketing-objectives"/>
    <w:p>
      <w:pPr>
        <w:pStyle w:val="Heading2"/>
      </w:pPr>
      <w:r>
        <w:t xml:space="preserve">Marketing Objectives</w:t>
      </w:r>
    </w:p>
    <w:p>
      <w:pPr>
        <w:pStyle w:val="FirstParagraph"/>
      </w:pPr>
      <w:r>
        <w:t xml:space="preserve">We establish the following SMART objectives for Year 1 in Kuwait City:</w:t>
      </w:r>
    </w:p>
    <w:p>
      <w:pPr>
        <w:numPr>
          <w:ilvl w:val="0"/>
          <w:numId w:val="1002"/>
        </w:numPr>
        <w:pStyle w:val="Compact"/>
      </w:pPr>
      <w:r>
        <w:t xml:space="preserve">Acquire 300 active Academic Researcher clients across Kuwait City institutions within 18 months.</w:t>
      </w:r>
    </w:p>
    <w:p>
      <w:pPr>
        <w:numPr>
          <w:ilvl w:val="0"/>
          <w:numId w:val="1002"/>
        </w:numPr>
        <w:pStyle w:val="Compact"/>
      </w:pPr>
      <w:r>
        <w:t xml:space="preserve">Achieve 75% client retention rate by Month 24 through personalized service delivery.</w:t>
      </w:r>
    </w:p>
    <w:p>
      <w:pPr>
        <w:numPr>
          <w:ilvl w:val="0"/>
          <w:numId w:val="1002"/>
        </w:numPr>
        <w:pStyle w:val="Compact"/>
      </w:pPr>
      <w:r>
        <w:t xml:space="preserve">Secure partnerships with at least 5 major Kuwait City universities for integrated service offerings.</w:t>
      </w:r>
    </w:p>
    <w:p>
      <w:pPr>
        <w:numPr>
          <w:ilvl w:val="0"/>
          <w:numId w:val="1002"/>
        </w:numPr>
        <w:pStyle w:val="Compact"/>
      </w:pPr>
      <w:r>
        <w:t xml:space="preserve">Generate $450,000 in revenue through tiered subscription models (Premium: $3,200/yr; Standard: $1,800/yr; Basic: $650/yr).</w:t>
      </w:r>
    </w:p>
    <w:p>
      <w:pPr>
        <w:numPr>
          <w:ilvl w:val="0"/>
          <w:numId w:val="1002"/>
        </w:numPr>
        <w:pStyle w:val="Compact"/>
      </w:pPr>
      <w:r>
        <w:t xml:space="preserve">Establish Kuwait City as a regional hub for research support services recognized by GCC academic bodies.</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develop three core service packages tailored to Kuwait City's research ecosystem:</w:t>
      </w:r>
    </w:p>
    <w:p>
      <w:pPr>
        <w:numPr>
          <w:ilvl w:val="0"/>
          <w:numId w:val="1003"/>
        </w:numPr>
        <w:pStyle w:val="Compact"/>
      </w:pPr>
      <w:r>
        <w:rPr>
          <w:bCs/>
          <w:b/>
        </w:rPr>
        <w:t xml:space="preserve">Kuwait Research Navigator (Basic):</w:t>
      </w:r>
      <w:r>
        <w:t xml:space="preserve"> </w:t>
      </w:r>
      <w:r>
        <w:t xml:space="preserve">Localized database access to Kuwaiti funding opportunities (e.g., Kuwait Foundation for the Advancement of Sciences) and cultural compliance guides.</w:t>
      </w:r>
    </w:p>
    <w:p>
      <w:pPr>
        <w:numPr>
          <w:ilvl w:val="0"/>
          <w:numId w:val="1003"/>
        </w:numPr>
        <w:pStyle w:val="Compact"/>
      </w:pPr>
      <w:r>
        <w:rPr>
          <w:bCs/>
          <w:b/>
        </w:rPr>
        <w:t xml:space="preserve">Publication Accelerator (Standard):</w:t>
      </w:r>
      <w:r>
        <w:t xml:space="preserve"> </w:t>
      </w:r>
      <w:r>
        <w:t xml:space="preserve">Manuscript editing with Gulf region publication experts, including pre-submission reviews addressing Western journal expectations.</w:t>
      </w:r>
    </w:p>
    <w:p>
      <w:pPr>
        <w:numPr>
          <w:ilvl w:val="0"/>
          <w:numId w:val="1003"/>
        </w:numPr>
        <w:pStyle w:val="Compact"/>
      </w:pPr>
      <w:r>
        <w:rPr>
          <w:bCs/>
          <w:b/>
        </w:rPr>
        <w:t xml:space="preserve">Nexus Research Studio (Premium):</w:t>
      </w:r>
      <w:r>
        <w:t xml:space="preserve"> </w:t>
      </w:r>
      <w:r>
        <w:t xml:space="preserve">End-to-end grant development, interdisciplinary project matching within Kuwait City institutions, and VIP access to annual "Kuwait Academic Summit" events.</w:t>
      </w:r>
    </w:p>
    <w:bookmarkEnd w:id="24"/>
    <w:bookmarkStart w:id="25" w:name="pricing-strategy"/>
    <w:p>
      <w:pPr>
        <w:pStyle w:val="Heading3"/>
      </w:pPr>
      <w:r>
        <w:t xml:space="preserve">Pricing Strategy</w:t>
      </w:r>
    </w:p>
    <w:p>
      <w:pPr>
        <w:pStyle w:val="FirstParagraph"/>
      </w:pPr>
      <w:r>
        <w:t xml:space="preserve">Value-based pricing aligned with Kuwait City's academic budget cycles:</w:t>
      </w:r>
    </w:p>
    <w:p>
      <w:pPr>
        <w:numPr>
          <w:ilvl w:val="0"/>
          <w:numId w:val="1004"/>
        </w:numPr>
        <w:pStyle w:val="Compact"/>
      </w:pPr>
      <w:r>
        <w:t xml:space="preserve">Discounted institutional rates for Kuwait University, KU, and GUST members (15% below standard).</w:t>
      </w:r>
    </w:p>
    <w:p>
      <w:pPr>
        <w:numPr>
          <w:ilvl w:val="0"/>
          <w:numId w:val="1004"/>
        </w:numPr>
        <w:pStyle w:val="Compact"/>
      </w:pPr>
      <w:r>
        <w:t xml:space="preserve">Scholarship tier for researchers from low-income departments in Kuwait City.</w:t>
      </w:r>
    </w:p>
    <w:p>
      <w:pPr>
        <w:numPr>
          <w:ilvl w:val="0"/>
          <w:numId w:val="1004"/>
        </w:numPr>
        <w:pStyle w:val="Compact"/>
      </w:pPr>
      <w:r>
        <w:t xml:space="preserve">Free introductory workshops at all Kuwait City universities to demonstrate cultural adaptation expertise.</w:t>
      </w:r>
    </w:p>
    <w:bookmarkEnd w:id="25"/>
    <w:bookmarkStart w:id="26" w:name="place-distribution-strategy"/>
    <w:p>
      <w:pPr>
        <w:pStyle w:val="Heading3"/>
      </w:pPr>
      <w:r>
        <w:t xml:space="preserve">Place (Distribution) Strategy</w:t>
      </w:r>
    </w:p>
    <w:p>
      <w:pPr>
        <w:pStyle w:val="FirstParagraph"/>
      </w:pPr>
      <w:r>
        <w:t xml:space="preserve">Leveraging Kuwait City's physical and digital infrastructure:</w:t>
      </w:r>
    </w:p>
    <w:p>
      <w:pPr>
        <w:numPr>
          <w:ilvl w:val="0"/>
          <w:numId w:val="1005"/>
        </w:numPr>
        <w:pStyle w:val="Compact"/>
      </w:pPr>
      <w:r>
        <w:t xml:space="preserve">On-site service hubs at Kuwait University, Gulf University, and SQU in Kuwait City.</w:t>
      </w:r>
    </w:p>
    <w:p>
      <w:pPr>
        <w:numPr>
          <w:ilvl w:val="0"/>
          <w:numId w:val="1005"/>
        </w:numPr>
        <w:pStyle w:val="Compact"/>
      </w:pPr>
      <w:r>
        <w:t xml:space="preserve">Dedicated Arabic/English support center operating 9am-6pm GST (Kuwait time) with local staff.</w:t>
      </w:r>
    </w:p>
    <w:p>
      <w:pPr>
        <w:numPr>
          <w:ilvl w:val="0"/>
          <w:numId w:val="1005"/>
        </w:numPr>
        <w:pStyle w:val="Compact"/>
      </w:pPr>
      <w:r>
        <w:t xml:space="preserve">Partnerships with Kuwaiti research databases (e.g., KU Library's Research Gateway) for integrated service access.</w:t>
      </w:r>
    </w:p>
    <w:bookmarkEnd w:id="26"/>
    <w:bookmarkStart w:id="27" w:name="promotion-strategy"/>
    <w:p>
      <w:pPr>
        <w:pStyle w:val="Heading3"/>
      </w:pPr>
      <w:r>
        <w:t xml:space="preserve">Promotion Strategy</w:t>
      </w:r>
    </w:p>
    <w:p>
      <w:pPr>
        <w:pStyle w:val="FirstParagraph"/>
      </w:pPr>
      <w:r>
        <w:t xml:space="preserve">Hyper-localized communication channels within Kuwait City:</w:t>
      </w:r>
    </w:p>
    <w:p>
      <w:pPr>
        <w:numPr>
          <w:ilvl w:val="0"/>
          <w:numId w:val="1006"/>
        </w:numPr>
        <w:pStyle w:val="Compact"/>
      </w:pPr>
      <w:r>
        <w:rPr>
          <w:bCs/>
          <w:b/>
        </w:rPr>
        <w:t xml:space="preserve">Institutional Partnerships:</w:t>
      </w:r>
      <w:r>
        <w:t xml:space="preserve"> </w:t>
      </w:r>
      <w:r>
        <w:t xml:space="preserve">Co-branded workshops with Kuwait University's Research Council at the Al-Sabah Research Center, featuring prominent Kuwaiti academics.</w:t>
      </w:r>
    </w:p>
    <w:p>
      <w:pPr>
        <w:numPr>
          <w:ilvl w:val="0"/>
          <w:numId w:val="1006"/>
        </w:numPr>
        <w:pStyle w:val="Compact"/>
      </w:pPr>
      <w:r>
        <w:rPr>
          <w:bCs/>
          <w:b/>
        </w:rPr>
        <w:t xml:space="preserve">Cultural Engagement:</w:t>
      </w:r>
      <w:r>
        <w:t xml:space="preserve"> </w:t>
      </w:r>
      <w:r>
        <w:t xml:space="preserve">Sponsorship of "Qatar National Day" academic events in Kuwait City to demonstrate cross-GCC collaboration readiness.</w:t>
      </w:r>
    </w:p>
    <w:p>
      <w:pPr>
        <w:numPr>
          <w:ilvl w:val="0"/>
          <w:numId w:val="1006"/>
        </w:numPr>
        <w:pStyle w:val="Compact"/>
      </w:pPr>
      <w:r>
        <w:rPr>
          <w:bCs/>
          <w:b/>
        </w:rPr>
        <w:t xml:space="preserve">Digital Targeting:</w:t>
      </w:r>
      <w:r>
        <w:t xml:space="preserve"> </w:t>
      </w:r>
      <w:r>
        <w:t xml:space="preserve">LinkedIn campaigns using keywords like "Academic Researcher Kuwait City" targeting researchers with 1+ years at Kuwaiti institutions, plus Facebook ads in Arabic for early-career researchers.</w:t>
      </w:r>
    </w:p>
    <w:p>
      <w:pPr>
        <w:numPr>
          <w:ilvl w:val="0"/>
          <w:numId w:val="1006"/>
        </w:numPr>
        <w:pStyle w:val="Compact"/>
      </w:pPr>
      <w:r>
        <w:rPr>
          <w:bCs/>
          <w:b/>
        </w:rPr>
        <w:t xml:space="preserve">Thought Leadership:</w:t>
      </w:r>
      <w:r>
        <w:t xml:space="preserve"> </w:t>
      </w:r>
      <w:r>
        <w:t xml:space="preserve">Publishing white papers on "Research Funding Trends in Gulf Universities" through the Kuwait Chamber of Commerce, positioning us as the expert source for Academic Researchers.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Lay foundation: Secure partnerships with 3 Kuwait City universities, launch Arabic/English website, conduct needs assessment workshops at Kuwait University.</w:t>
            </w:r>
          </w:p>
        </w:tc>
      </w:tr>
      <w:tr>
        <w:tc>
          <w:tcPr/>
          <w:p>
            <w:pPr>
              <w:pStyle w:val="Compact"/>
              <w:jc w:val="left"/>
            </w:pPr>
            <w:r>
              <w:t xml:space="preserve">Q2 2024</w:t>
            </w:r>
          </w:p>
        </w:tc>
        <w:tc>
          <w:tcPr/>
          <w:p>
            <w:pPr>
              <w:pStyle w:val="Compact"/>
              <w:jc w:val="left"/>
            </w:pPr>
            <w:r>
              <w:t xml:space="preserve">Service rollout: Launch Basic tier, host first "Kuwait Research Acceleration" workshop at Gulf University for 150 attendees.</w:t>
            </w:r>
          </w:p>
        </w:tc>
      </w:tr>
      <w:tr>
        <w:tc>
          <w:tcPr/>
          <w:p>
            <w:pPr>
              <w:pStyle w:val="Compact"/>
              <w:jc w:val="left"/>
            </w:pPr>
            <w:r>
              <w:t xml:space="preserve">Q3 2024</w:t>
            </w:r>
          </w:p>
        </w:tc>
        <w:tc>
          <w:tcPr/>
          <w:p>
            <w:pPr>
              <w:pStyle w:val="Compact"/>
              <w:jc w:val="left"/>
            </w:pPr>
            <w:r>
              <w:t xml:space="preserve">Scale engagement: Introduce Premium tier with grant-writing bootcamps, secure GCC academic association endorsement.</w:t>
            </w:r>
          </w:p>
        </w:tc>
      </w:tr>
      <w:tr>
        <w:tc>
          <w:tcPr/>
          <w:p>
            <w:pPr>
              <w:pStyle w:val="Compact"/>
              <w:jc w:val="left"/>
            </w:pPr>
            <w:r>
              <w:t xml:space="preserve">Q4 2024</w:t>
            </w:r>
          </w:p>
        </w:tc>
        <w:tc>
          <w:tcPr/>
          <w:p>
            <w:pPr>
              <w:pStyle w:val="Compact"/>
              <w:jc w:val="left"/>
            </w:pPr>
            <w:r>
              <w:t xml:space="preserve">Evaluate &amp; optimize: Client satisfaction survey targeting all Kuwait City users, refine service packages for Year 2 expansion.</w:t>
            </w:r>
          </w:p>
        </w:tc>
      </w:tr>
    </w:tbl>
    <w:bookmarkEnd w:id="29"/>
    <w:bookmarkStart w:id="30" w:name="budget-allocation-year-1"/>
    <w:p>
      <w:pPr>
        <w:pStyle w:val="Heading2"/>
      </w:pPr>
      <w:r>
        <w:t xml:space="preserve">Budget Allocation (Year 1)</w:t>
      </w:r>
    </w:p>
    <w:p>
      <w:pPr>
        <w:numPr>
          <w:ilvl w:val="0"/>
          <w:numId w:val="1007"/>
        </w:numPr>
        <w:pStyle w:val="Compact"/>
      </w:pPr>
      <w:r>
        <w:t xml:space="preserve">Marketing &amp; Promotion: 45% ($360,000) – Kuwait City-focused events, digital advertising in Kuwaiti academic circles</w:t>
      </w:r>
    </w:p>
    <w:p>
      <w:pPr>
        <w:numPr>
          <w:ilvl w:val="0"/>
          <w:numId w:val="1007"/>
        </w:numPr>
        <w:pStyle w:val="Compact"/>
      </w:pPr>
      <w:r>
        <w:t xml:space="preserve">Tech Platform Development: 25% ($200,000) – Arabic-friendly interface for research database integration</w:t>
      </w:r>
    </w:p>
    <w:p>
      <w:pPr>
        <w:numPr>
          <w:ilvl w:val="0"/>
          <w:numId w:val="1007"/>
        </w:numPr>
        <w:pStyle w:val="Compact"/>
      </w:pPr>
      <w:r>
        <w:t xml:space="preserve">Staffing (Local Team): 25% ($200,000) – Hiring Kuwait City-based researchers for service delivery</w:t>
      </w:r>
    </w:p>
    <w:p>
      <w:pPr>
        <w:numPr>
          <w:ilvl w:val="0"/>
          <w:numId w:val="1007"/>
        </w:numPr>
        <w:pStyle w:val="Compact"/>
      </w:pPr>
      <w:r>
        <w:t xml:space="preserve">Evaluation &amp; Analytics: 5% ($40,000) – Tracking client impact metrics specific to Kuwait's research ecosystem</w:t>
      </w:r>
    </w:p>
    <w:bookmarkEnd w:id="30"/>
    <w:bookmarkStart w:id="31" w:name="measurement-evaluation"/>
    <w:p>
      <w:pPr>
        <w:pStyle w:val="Heading2"/>
      </w:pPr>
      <w:r>
        <w:t xml:space="preserve">Measurement &amp; Evaluation</w:t>
      </w:r>
    </w:p>
    <w:p>
      <w:pPr>
        <w:pStyle w:val="FirstParagraph"/>
      </w:pPr>
      <w:r>
        <w:t xml:space="preserve">We track success using Kuwait City-specific KPIs:</w:t>
      </w:r>
    </w:p>
    <w:p>
      <w:pPr>
        <w:numPr>
          <w:ilvl w:val="0"/>
          <w:numId w:val="1008"/>
        </w:numPr>
        <w:pStyle w:val="Compact"/>
      </w:pPr>
      <w:r>
        <w:rPr>
          <w:bCs/>
          <w:b/>
        </w:rPr>
        <w:t xml:space="preserve">Service Adoption Rate:</w:t>
      </w:r>
      <w:r>
        <w:t xml:space="preserve"> </w:t>
      </w:r>
      <w:r>
        <w:t xml:space="preserve">Percentage of target Academic Researchers in Kuwait City utilizing our platform monthly.</w:t>
      </w:r>
    </w:p>
    <w:p>
      <w:pPr>
        <w:numPr>
          <w:ilvl w:val="0"/>
          <w:numId w:val="1008"/>
        </w:numPr>
        <w:pStyle w:val="Compact"/>
      </w:pPr>
      <w:r>
        <w:rPr>
          <w:bCs/>
          <w:b/>
        </w:rPr>
        <w:t xml:space="preserve">Cultural Adaptation Index:</w:t>
      </w:r>
      <w:r>
        <w:t xml:space="preserve"> </w:t>
      </w:r>
      <w:r>
        <w:t xml:space="preserve">Measured through pre/post-service surveys on researchers' ability to navigate international publication norms (target: 40% improvement).</w:t>
      </w:r>
    </w:p>
    <w:p>
      <w:pPr>
        <w:numPr>
          <w:ilvl w:val="0"/>
          <w:numId w:val="1008"/>
        </w:numPr>
        <w:pStyle w:val="Compact"/>
      </w:pPr>
      <w:r>
        <w:rPr>
          <w:bCs/>
          <w:b/>
        </w:rPr>
        <w:t xml:space="preserve">Institutional Partnership Growth:</w:t>
      </w:r>
      <w:r>
        <w:t xml:space="preserve"> </w:t>
      </w:r>
      <w:r>
        <w:t xml:space="preserve">Number of new Kuwait City universities integrating our services into their research support frameworks.</w:t>
      </w:r>
    </w:p>
    <w:p>
      <w:pPr>
        <w:numPr>
          <w:ilvl w:val="0"/>
          <w:numId w:val="1008"/>
        </w:numPr>
        <w:pStyle w:val="Compact"/>
      </w:pPr>
      <w:r>
        <w:rPr>
          <w:bCs/>
          <w:b/>
        </w:rPr>
        <w:t xml:space="preserve">National Vision Alignment:</w:t>
      </w:r>
      <w:r>
        <w:t xml:space="preserve"> </w:t>
      </w:r>
      <w:r>
        <w:t xml:space="preserve">Tracking funded projects contributing to Kuwait Vision 2035 objectives (e.g., healthcare innovation, renewable energy).</w:t>
      </w:r>
    </w:p>
    <w:bookmarkEnd w:id="31"/>
    <w:bookmarkStart w:id="32" w:name="conclusion"/>
    <w:p>
      <w:pPr>
        <w:pStyle w:val="Heading2"/>
      </w:pPr>
      <w:r>
        <w:t xml:space="preserve">Conclusion</w:t>
      </w:r>
    </w:p>
    <w:p>
      <w:pPr>
        <w:pStyle w:val="FirstParagraph"/>
      </w:pPr>
      <w:r>
        <w:t xml:space="preserve">This Marketing Plan positions our Academic Researcher support services as indispensable for Kuwait City's academic ecosystem. By deeply understanding the cultural, institutional, and operational context of researchers in Kuwait City – from navigating local funding mechanisms to bridging Gulf-Western academic practices – we deliver transformative value. Our strategy directly supports Kuwait's strategic imperatives while building a sustainable service model that addresses the acute needs of Academic Researchers operating within this dynamic city. As Kuwait continues its journey toward knowledge-based development, our presence in Kuwait City establishes a critical infrastructure for research excellence across the GCC.</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Support Services in Kuwait City</dc:title>
  <dc:creator/>
  <dc:language>en</dc:language>
  <cp:keywords/>
  <dcterms:created xsi:type="dcterms:W3CDTF">2025-12-12T15:21:46Z</dcterms:created>
  <dcterms:modified xsi:type="dcterms:W3CDTF">2025-12-12T15:21:46Z</dcterms:modified>
</cp:coreProperties>
</file>

<file path=docProps/custom.xml><?xml version="1.0" encoding="utf-8"?>
<Properties xmlns="http://schemas.openxmlformats.org/officeDocument/2006/custom-properties" xmlns:vt="http://schemas.openxmlformats.org/officeDocument/2006/docPropsVTypes"/>
</file>