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Academic</w:t>
      </w:r>
      <w:r>
        <w:t xml:space="preserve"> </w:t>
      </w:r>
      <w:r>
        <w:t xml:space="preserve">Researcher</w:t>
      </w:r>
      <w:r>
        <w:t xml:space="preserve"> </w:t>
      </w:r>
      <w:r>
        <w:t xml:space="preserve">Positioning</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924b81c998f52a040258cf52f6d64b755f4330f"/>
    <w:p>
      <w:pPr>
        <w:pStyle w:val="Heading1"/>
      </w:pPr>
      <w:r>
        <w:t xml:space="preserve">Strategic Marketing Plan for Academic Researcher Professional Positioning in Malaysia Kuala Lumpur</w:t>
      </w:r>
    </w:p>
    <w:bookmarkStart w:id="20" w:name="executive-summary"/>
    <w:p>
      <w:pPr>
        <w:pStyle w:val="Heading2"/>
      </w:pPr>
      <w:r>
        <w:t xml:space="preserve">Executive Summary</w:t>
      </w:r>
    </w:p>
    <w:p>
      <w:pPr>
        <w:pStyle w:val="FirstParagraph"/>
      </w:pPr>
      <w:r>
        <w:t xml:space="preserve">This comprehensive Marketing Plan outlines a targeted strategy to position an Academic Researcher as a high-impact professional within the dynamic higher education and research ecosystem of Malaysia, with primary focus on Kuala Lumpur. The plan addresses unique opportunities in Southeast Asia's fastest-growing academic hub, leveraging KL's status as Malaysia's educational capital and the nation's strategic push for research excellence. This document serves as a roadmap for career advancement, grant acquisition, institutional collaboration, and thought leadership specifically tailored to the Malaysian context.</w:t>
      </w:r>
    </w:p>
    <w:bookmarkEnd w:id="20"/>
    <w:bookmarkStart w:id="21" w:name="Xa37a56090afb1fdff1eacc338fca3648a82bbe7"/>
    <w:p>
      <w:pPr>
        <w:pStyle w:val="Heading2"/>
      </w:pPr>
      <w:r>
        <w:t xml:space="preserve">1. Situation Analysis: Academic Researcher Landscape in Kuala Lumpur</w:t>
      </w:r>
    </w:p>
    <w:p>
      <w:pPr>
        <w:pStyle w:val="FirstParagraph"/>
      </w:pPr>
      <w:r>
        <w:t xml:space="preserve">Kuala Lumpur hosts Malaysia's premier universities (University of Malaya, Universiti Kebangsaan Malaysia, Universiti Putra Malaysia) and research institutions like A*STAR and MARDI. The Malaysian government's National Research and Innovation Policy (2021-2030) prioritizes R&amp;D investment, creating unprecedented demand for skilled Academic Researchers. Key challenges include intense competition for funding, the need to align research with national priorities (e.g., palm oil sustainability, Islamic finance, digital health), and bridging the gap between academic output and industry application within Malaysia's unique socio-economic framework. An effective Marketing Plan must navigate KL's specific academic culture while targeting local institutions' strategic goals.</w:t>
      </w:r>
    </w:p>
    <w:bookmarkEnd w:id="21"/>
    <w:bookmarkStart w:id="22" w:name="target-audience-definition"/>
    <w:p>
      <w:pPr>
        <w:pStyle w:val="Heading2"/>
      </w:pPr>
      <w:r>
        <w:t xml:space="preserve">2. Target Audience Definition</w:t>
      </w:r>
    </w:p>
    <w:p>
      <w:pPr>
        <w:pStyle w:val="FirstParagraph"/>
      </w:pPr>
      <w:r>
        <w:t xml:space="preserve">This plan targets three critical audiences in Malaysia Kuala Lumpur:</w:t>
      </w:r>
    </w:p>
    <w:p>
      <w:pPr>
        <w:numPr>
          <w:ilvl w:val="0"/>
          <w:numId w:val="1001"/>
        </w:numPr>
        <w:pStyle w:val="Compact"/>
      </w:pPr>
      <w:r>
        <w:rPr>
          <w:bCs/>
          <w:b/>
        </w:rPr>
        <w:t xml:space="preserve">Institutional Decision Makers:</w:t>
      </w:r>
      <w:r>
        <w:t xml:space="preserve"> </w:t>
      </w:r>
      <w:r>
        <w:t xml:space="preserve">Deans, Research Directors at KL universities seeking researchers aligned with national R&amp;D objectives.</w:t>
      </w:r>
    </w:p>
    <w:p>
      <w:pPr>
        <w:numPr>
          <w:ilvl w:val="0"/>
          <w:numId w:val="1001"/>
        </w:numPr>
        <w:pStyle w:val="Compact"/>
      </w:pPr>
      <w:r>
        <w:rPr>
          <w:bCs/>
          <w:b/>
        </w:rPr>
        <w:t xml:space="preserve">Collaborative Partners:</w:t>
      </w:r>
      <w:r>
        <w:t xml:space="preserve"> </w:t>
      </w:r>
      <w:r>
        <w:t xml:space="preserve">Industry R&amp;D heads (e.g., PETRONAS, FAMA), government agencies (MESTECC, MOE), and international partners focused on ASEAN research initiatives.</w:t>
      </w:r>
    </w:p>
    <w:p>
      <w:pPr>
        <w:numPr>
          <w:ilvl w:val="0"/>
          <w:numId w:val="1001"/>
        </w:numPr>
        <w:pStyle w:val="Compact"/>
      </w:pPr>
      <w:r>
        <w:rPr>
          <w:bCs/>
          <w:b/>
        </w:rPr>
        <w:t xml:space="preserve">Potential Funding Bodies:</w:t>
      </w:r>
      <w:r>
        <w:t xml:space="preserve"> </w:t>
      </w:r>
      <w:r>
        <w:t xml:space="preserve">MyRA (Malaysian Research Agency), MOSTI grants programs, and industry consortia funding projects relevant to Malaysia's development needs.</w:t>
      </w:r>
    </w:p>
    <w:bookmarkEnd w:id="22"/>
    <w:bookmarkStart w:id="23" w:name="Xc3c18e979bf5efd0bf6f40f619886c01fc5259d"/>
    <w:p>
      <w:pPr>
        <w:pStyle w:val="Heading2"/>
      </w:pPr>
      <w:r>
        <w:t xml:space="preserve">3. Value Proposition: The Academic Researcher in KL</w:t>
      </w:r>
    </w:p>
    <w:p>
      <w:pPr>
        <w:pStyle w:val="FirstParagraph"/>
      </w:pPr>
      <w:r>
        <w:t xml:space="preserve">The core value proposition centers on delivering research with tangible impact for Malaysia's socio-economic advancement. As an Academic Researcher, the focus is on:</w:t>
      </w:r>
    </w:p>
    <w:p>
      <w:pPr>
        <w:numPr>
          <w:ilvl w:val="0"/>
          <w:numId w:val="1002"/>
        </w:numPr>
        <w:pStyle w:val="Compact"/>
      </w:pPr>
      <w:r>
        <w:rPr>
          <w:bCs/>
          <w:b/>
        </w:rPr>
        <w:t xml:space="preserve">Local Relevance:</w:t>
      </w:r>
      <w:r>
        <w:t xml:space="preserve"> </w:t>
      </w:r>
      <w:r>
        <w:t xml:space="preserve">Conducting research directly addressing Malaysia's challenges (e.g., climate-resilient agriculture, healthcare access in B40 communities).</w:t>
      </w:r>
    </w:p>
    <w:p>
      <w:pPr>
        <w:numPr>
          <w:ilvl w:val="0"/>
          <w:numId w:val="1002"/>
        </w:numPr>
        <w:pStyle w:val="Compact"/>
      </w:pPr>
      <w:r>
        <w:rPr>
          <w:bCs/>
          <w:b/>
        </w:rPr>
        <w:t xml:space="preserve">Institutional Alignment:</w:t>
      </w:r>
      <w:r>
        <w:t xml:space="preserve"> </w:t>
      </w:r>
      <w:r>
        <w:t xml:space="preserve">Contributing to KL universities' strategic goals and national initiatives like the National Digital Economy Blueprint.</w:t>
      </w:r>
    </w:p>
    <w:p>
      <w:pPr>
        <w:numPr>
          <w:ilvl w:val="0"/>
          <w:numId w:val="1002"/>
        </w:numPr>
        <w:pStyle w:val="Compact"/>
      </w:pPr>
      <w:r>
        <w:rPr>
          <w:bCs/>
          <w:b/>
        </w:rPr>
        <w:t xml:space="preserve">Cross-Sector Impact:</w:t>
      </w:r>
      <w:r>
        <w:t xml:space="preserve"> </w:t>
      </w:r>
      <w:r>
        <w:t xml:space="preserve">Translating academic findings into practical solutions for Malaysian industries and government policies.</w:t>
      </w:r>
    </w:p>
    <w:bookmarkEnd w:id="23"/>
    <w:bookmarkStart w:id="28" w:name="Xa2874966a6d2c728df45d129091afcc5cfedd80"/>
    <w:p>
      <w:pPr>
        <w:pStyle w:val="Heading2"/>
      </w:pPr>
      <w:r>
        <w:t xml:space="preserve">4. Marketing Mix: The 4Ps for Academic Researcher Positioning</w:t>
      </w:r>
    </w:p>
    <w:bookmarkStart w:id="24" w:name="product-research-portfolio-expertise"/>
    <w:p>
      <w:pPr>
        <w:pStyle w:val="Heading3"/>
      </w:pPr>
      <w:r>
        <w:t xml:space="preserve">Product: Research Portfolio &amp; Expertise</w:t>
      </w:r>
    </w:p>
    <w:p>
      <w:pPr>
        <w:pStyle w:val="FirstParagraph"/>
      </w:pPr>
      <w:r>
        <w:t xml:space="preserve">Develop a distinct, Malaysia-focused research portfolio. Prioritize areas with high national strategic value:</w:t>
      </w:r>
      <w:r>
        <w:t xml:space="preserve"> </w:t>
      </w:r>
      <w:r>
        <w:t xml:space="preserve">• Sustainable Palm Oil Value Chains (aligning with Malaysia's #1 export sector)</w:t>
      </w:r>
      <w:r>
        <w:t xml:space="preserve"> </w:t>
      </w:r>
      <w:r>
        <w:t xml:space="preserve">• Digital Health Solutions for Rural KL and National Healthcare Systems</w:t>
      </w:r>
      <w:r>
        <w:t xml:space="preserve"> </w:t>
      </w:r>
      <w:r>
        <w:t xml:space="preserve">• Islamic Finance Innovation (leveraging KL as a global hub)</w:t>
      </w:r>
    </w:p>
    <w:p>
      <w:pPr>
        <w:pStyle w:val="BodyText"/>
      </w:pPr>
      <w:r>
        <w:t xml:space="preserve">Emphasize publication in credible Malaysian journals (e.g., Journal of Theoretical and Applied Information Technology) alongside high-impact international outlets. All research outputs must explicitly reference Malaysia's context and potential national benefit.</w:t>
      </w:r>
    </w:p>
    <w:bookmarkEnd w:id="24"/>
    <w:bookmarkStart w:id="25" w:name="price-value-based-positioning"/>
    <w:p>
      <w:pPr>
        <w:pStyle w:val="Heading3"/>
      </w:pPr>
      <w:r>
        <w:t xml:space="preserve">Price: Value-Based Positioning</w:t>
      </w:r>
    </w:p>
    <w:p>
      <w:pPr>
        <w:pStyle w:val="FirstParagraph"/>
      </w:pPr>
      <w:r>
        <w:t xml:space="preserve">Rather than monetary "price," position the Academic Researcher as an investment with quantifiable returns for Malaysian institutions:</w:t>
      </w:r>
      <w:r>
        <w:t xml:space="preserve"> </w:t>
      </w:r>
      <w:r>
        <w:t xml:space="preserve">• Increased grant funding secured (e.g., MyRA, MOSTI grants)</w:t>
      </w:r>
      <w:r>
        <w:t xml:space="preserve"> </w:t>
      </w:r>
      <w:r>
        <w:t xml:space="preserve">• Enhanced university rankings through impactful publications</w:t>
      </w:r>
      <w:r>
        <w:t xml:space="preserve"> </w:t>
      </w:r>
      <w:r>
        <w:t xml:space="preserve">• Industry partnerships generating co-funded research projects</w:t>
      </w:r>
      <w:r>
        <w:t xml:space="preserve"> </w:t>
      </w:r>
      <w:r>
        <w:t xml:space="preserve">• Direct contribution to national policy development (e.g., contributing to Ministry of Finance reports on digital economy)</w:t>
      </w:r>
    </w:p>
    <w:bookmarkEnd w:id="25"/>
    <w:bookmarkStart w:id="26" w:name="Xeb28f6b9837a22f9994b031900e55d47026d391"/>
    <w:p>
      <w:pPr>
        <w:pStyle w:val="Heading3"/>
      </w:pPr>
      <w:r>
        <w:t xml:space="preserve">Place: Strategic Visibility in Kuala Lumpur</w:t>
      </w:r>
    </w:p>
    <w:p>
      <w:pPr>
        <w:pStyle w:val="FirstParagraph"/>
      </w:pPr>
      <w:r>
        <w:t xml:space="preserve">Establish a physical and digital presence within KL's academic ecosystem:</w:t>
      </w:r>
      <w:r>
        <w:t xml:space="preserve"> </w:t>
      </w:r>
      <w:r>
        <w:t xml:space="preserve">• Regularly present at key KL events: International Conference on Research Management (ICRM) hosted by UM, A*STAR seminars.</w:t>
      </w:r>
      <w:r>
        <w:t xml:space="preserve"> </w:t>
      </w:r>
      <w:r>
        <w:t xml:space="preserve">• Secure speaking slots at Malaysia Research and Innovation Week (hosted in KL annually).</w:t>
      </w:r>
      <w:r>
        <w:t xml:space="preserve"> </w:t>
      </w:r>
      <w:r>
        <w:t xml:space="preserve">• Become active in Malaysian research networks like MARDI's Collaborative Platforms.</w:t>
      </w:r>
      <w:r>
        <w:t xml:space="preserve"> </w:t>
      </w:r>
      <w:r>
        <w:t xml:space="preserve">• Maintain a professional online profile highlighting Malaysia-focused work on LinkedIn and institutional websites.</w:t>
      </w:r>
    </w:p>
    <w:bookmarkEnd w:id="26"/>
    <w:bookmarkStart w:id="27" w:name="Xecbb5d6f3a847c920a18ddede88851dd7495f4d"/>
    <w:p>
      <w:pPr>
        <w:pStyle w:val="Heading3"/>
      </w:pPr>
      <w:r>
        <w:t xml:space="preserve">Promotion: Strategic Communication Tactics</w:t>
      </w:r>
    </w:p>
    <w:p>
      <w:pPr>
        <w:pStyle w:val="FirstParagraph"/>
      </w:pPr>
      <w:r>
        <w:t xml:space="preserve">Implement targeted outreach within Malaysia Kuala Lumpur:</w:t>
      </w:r>
      <w:r>
        <w:t xml:space="preserve"> </w:t>
      </w:r>
      <w:r>
        <w:t xml:space="preserve">• **Content Marketing:** Publish op-eds in Malay-language media (e.g., The Star, Berita Harian) on research implications for Malaysia.</w:t>
      </w:r>
      <w:r>
        <w:t xml:space="preserve"> </w:t>
      </w:r>
      <w:r>
        <w:t xml:space="preserve">• **Networking:** Join KL-specific groups like the Kuala Lumpur Academic Network (KLAN), facilitated through universities. Attend every MyRA-funded workshop in KL.</w:t>
      </w:r>
      <w:r>
        <w:t xml:space="preserve"> </w:t>
      </w:r>
      <w:r>
        <w:t xml:space="preserve">• **Collaboration Outreach:** Initiate targeted proposals to industry partners based in Petaling Jaya and Cyberjaya, focusing on shared Malaysian challenges.</w:t>
      </w:r>
      <w:r>
        <w:t xml:space="preserve"> </w:t>
      </w:r>
      <w:r>
        <w:t xml:space="preserve">• **Social Proof:** Showcase successful national impact stories: "How my research on urban waste management at KL University informed the City Council's new recycling policy."</w:t>
      </w:r>
    </w:p>
    <w:bookmarkEnd w:id="27"/>
    <w:bookmarkEnd w:id="28"/>
    <w:bookmarkStart w:id="29" w:name="X2f230a9b8fdae2ee30c4533857beb5026252ccb"/>
    <w:p>
      <w:pPr>
        <w:pStyle w:val="Heading2"/>
      </w:pPr>
      <w:r>
        <w:t xml:space="preserve">5. Implementation Timeline (Kuala Lumpur Focused)</w:t>
      </w:r>
    </w:p>
    <w:p>
      <w:pPr>
        <w:pStyle w:val="FirstParagraph"/>
      </w:pPr>
      <w:r>
        <w:t xml:space="preserve">Quarter</w:t>
      </w:r>
    </w:p>
    <w:p>
      <w:pPr>
        <w:pStyle w:val="BodyText"/>
      </w:pPr>
      <w:r>
        <w:t xml:space="preserve">Key Marketing Activities for Malaysia Kuala Lumpur</w:t>
      </w:r>
    </w:p>
    <w:p>
      <w:pPr>
        <w:pStyle w:val="BodyText"/>
      </w:pPr>
      <w:r>
        <w:t xml:space="preserve">Q1</w:t>
      </w:r>
    </w:p>
    <w:p>
      <w:pPr>
        <w:pStyle w:val="BodyText"/>
      </w:pPr>
      <w:r>
        <w:t xml:space="preserve">Finalize KL research portfolio alignment with National R&amp;D Plan; Register with MyRA database; Present at first KL University Research Forum.</w:t>
      </w:r>
    </w:p>
    <w:p>
      <w:pPr>
        <w:pStyle w:val="BodyText"/>
      </w:pPr>
      <w:r>
        <w:t xml:space="preserve">Q2</w:t>
      </w:r>
    </w:p>
    <w:p>
      <w:pPr>
        <w:pStyle w:val="BodyText"/>
      </w:pPr>
      <w:r>
        <w:t xml:space="preserve">Secure 1 industry partnership in KL (e.g., PETRONAS Digital Lab); Publish 1 Malaysia-focused article in local journal.</w:t>
      </w:r>
    </w:p>
    <w:p>
      <w:pPr>
        <w:pStyle w:val="BodyText"/>
      </w:pPr>
      <w:r>
        <w:t xml:space="preserve">Q3</w:t>
      </w:r>
    </w:p>
    <w:p>
      <w:pPr>
        <w:pStyle w:val="BodyText"/>
      </w:pPr>
      <w:r>
        <w:t xml:space="preserve">Present at major ASEAN Research Conference held in Kuala Lumpur; Launch LinkedIn campaign highlighting Malaysian research impact.</w:t>
      </w:r>
    </w:p>
    <w:p>
      <w:pPr>
        <w:pStyle w:val="BodyText"/>
      </w:pPr>
      <w:r>
        <w:t xml:space="preserve">Q4</w:t>
      </w:r>
    </w:p>
    <w:p>
      <w:pPr>
        <w:pStyle w:val="BodyText"/>
      </w:pPr>
      <w:r>
        <w:rPr>
          <w:bCs/>
          <w:b/>
        </w:rPr>
        <w:t xml:space="preserve">Track and report on national impact metrics (e.g., policy references, grant value secured for Malaysia); Plan Q1 activities.</w:t>
      </w:r>
    </w:p>
    <w:bookmarkEnd w:id="29"/>
    <w:bookmarkStart w:id="30" w:name="measurement-kpis"/>
    <w:p>
      <w:pPr>
        <w:pStyle w:val="Heading2"/>
      </w:pPr>
      <w:r>
        <w:t xml:space="preserve">6. Measurement &amp; KPIs</w:t>
      </w:r>
    </w:p>
    <w:p>
      <w:pPr>
        <w:pStyle w:val="FirstParagraph"/>
      </w:pPr>
      <w:r>
        <w:t xml:space="preserve">Evaluate success through metrics relevant to the Academic Researcher's role in Malaysia Kuala Lumpur:</w:t>
      </w:r>
      <w:r>
        <w:t xml:space="preserve"> </w:t>
      </w:r>
      <w:r>
        <w:t xml:space="preserve">• Number of research projects funded with Malaysian government (MOSTI, MyRA) or industry partners based in KL.</w:t>
      </w:r>
      <w:r>
        <w:t xml:space="preserve"> </w:t>
      </w:r>
      <w:r>
        <w:t xml:space="preserve">• Publications specifically citing Malaysia as the context or beneficiary.</w:t>
      </w:r>
      <w:r>
        <w:t xml:space="preserve"> </w:t>
      </w:r>
      <w:r>
        <w:t xml:space="preserve">• Invitations to speak at KL-based academic or policy events (e.g., Ministry workshops).</w:t>
      </w:r>
      <w:r>
        <w:t xml:space="preserve"> </w:t>
      </w:r>
      <w:r>
        <w:t xml:space="preserve">• Media mentions in Malaysian publications related to the researcher's work.</w:t>
      </w:r>
      <w:r>
        <w:t xml:space="preserve"> </w:t>
      </w:r>
      <w:r>
        <w:t xml:space="preserve">• Number of collaborative projects initiated with Malaysian universities/industry in KL (measured quarterly).</w:t>
      </w:r>
    </w:p>
    <w:bookmarkEnd w:id="30"/>
    <w:bookmarkStart w:id="31" w:name="Xe6bbc3c2a26514dcfd7d7880f84e9b26b09177a"/>
    <w:p>
      <w:pPr>
        <w:pStyle w:val="Heading2"/>
      </w:pPr>
      <w:r>
        <w:t xml:space="preserve">7. Conclusion: The Path Forward for Academic Researcher Excellence</w:t>
      </w:r>
    </w:p>
    <w:p>
      <w:pPr>
        <w:pStyle w:val="FirstParagraph"/>
      </w:pPr>
      <w:r>
        <w:t xml:space="preserve">This Marketing Plan provides a clear, actionable strategy for an Academic Researcher to establish and amplify their professional presence within the competitive yet opportunity-rich environment of Malaysia Kuala Lumpur. Success hinges on deeply embedding research within Malaysia's national development narrative, actively participating in KL's academic community, and demonstrating measurable value aligned with the country's strategic objectives. By consistently applying this plan—focusing on local impact, strategic networking in KL, and clear communication of contributions to Malaysian advancement—the Academic Researcher becomes an indispensable asset for institutions striving for excellence within Malaysia's evolving research landscape. The ultimate goal is not merely visibility, but becoming a recognized thought leader whose work directly shapes Malaysia's academic and socio-economic future from Kuala Lumpur.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Academic Researcher Positioning in Malaysia Kuala Lumpur</dc:title>
  <dc:creator/>
  <dc:language>en</dc:language>
  <cp:keywords/>
  <dcterms:created xsi:type="dcterms:W3CDTF">2026-07-24T03:45:44Z</dcterms:created>
  <dcterms:modified xsi:type="dcterms:W3CDTF">2026-07-24T03:45:44Z</dcterms:modified>
</cp:coreProperties>
</file>

<file path=docProps/custom.xml><?xml version="1.0" encoding="utf-8"?>
<Properties xmlns="http://schemas.openxmlformats.org/officeDocument/2006/custom-properties" xmlns:vt="http://schemas.openxmlformats.org/officeDocument/2006/docPropsVTypes"/>
</file>