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9" w:name="X517dd657324522391567e272bd5206913f37668"/>
    <w:p>
      <w:pPr>
        <w:pStyle w:val="Heading1"/>
      </w:pPr>
      <w:r>
        <w:t xml:space="preserve">Strategic Marketing Plan: Targeting Academic Researchers in Amsterdam, Netherlands</w:t>
      </w:r>
    </w:p>
    <w:bookmarkStart w:id="20" w:name="executive-summary"/>
    <w:p>
      <w:pPr>
        <w:pStyle w:val="Heading2"/>
      </w:pPr>
      <w:r>
        <w:t xml:space="preserve">Executive Summary</w:t>
      </w:r>
    </w:p>
    <w:p>
      <w:pPr>
        <w:pStyle w:val="FirstParagraph"/>
      </w:pPr>
      <w:r>
        <w:t xml:space="preserve">This Marketing Plan outlines a targeted strategy to position our academic research support services as the indispensable partner for researchers within the Amsterdam, Netherlands ecosystem. By deeply understanding the unique challenges and opportunities faced by Academic Researcher professionals operating in one of Europe's most dynamic knowledge hubs, we will deploy localized tactics that resonate with institutional priorities and individual career trajectories. The plan leverages Amsterdam's status as a global research magnet to drive adoption among 15,000+ academic researchers across universities, institutes, and innovation clusters within the Netherlands.</w:t>
      </w:r>
    </w:p>
    <w:bookmarkEnd w:id="20"/>
    <w:bookmarkStart w:id="21" w:name="Xfcae6c0ae4a5bf4823b30ccd225cfd37d5953d2"/>
    <w:p>
      <w:pPr>
        <w:pStyle w:val="Heading2"/>
      </w:pPr>
      <w:r>
        <w:t xml:space="preserve">Situation Analysis: Amsterdam's Academic Landscape</w:t>
      </w:r>
    </w:p>
    <w:p>
      <w:pPr>
        <w:pStyle w:val="FirstParagraph"/>
      </w:pPr>
      <w:r>
        <w:t xml:space="preserve">Amsterdam serves as a cornerstone of the Netherlands' world-leading research infrastructure. Home to the University of Amsterdam (UvA), Vrije Universiteit Amsterdam (VU), and prominent institutes like AMOLF and The Hague University of Applied Sciences, the city hosts 18% of all Dutch academic publications. Key drivers include Horizon Europe funding opportunities, strong industry-academia collaboration in tech and life sciences, and the Netherlands Organisation for Scientific Research (NWO)’s strategic priorities. However, Academic Researchers face acute pressures: grant competition is fierce (only 20% success rate for NWO proposals), interdisciplinary collaboration remains fragmented across institutions, and administrative burdens consume 35% of research time according to a 2023 Leiden University study. This creates urgent demand for specialized support services tailored to Amsterdam's ecosystem.</w:t>
      </w:r>
    </w:p>
    <w:bookmarkEnd w:id="21"/>
    <w:bookmarkStart w:id="22" w:name="X7bb9fd65a973cfd059fdd720e29751c8163d20f"/>
    <w:p>
      <w:pPr>
        <w:pStyle w:val="Heading2"/>
      </w:pPr>
      <w:r>
        <w:t xml:space="preserve">Target Audience: The Amsterdam Academic Researcher Persona</w:t>
      </w:r>
    </w:p>
    <w:p>
      <w:pPr>
        <w:pStyle w:val="FirstParagraph"/>
      </w:pPr>
      <w:r>
        <w:t xml:space="preserve">Our primary audience comprises Early-Career Researchers (ECRs) and Established Professors at Amsterdam-based institutions, with distinct needs:</w:t>
      </w:r>
    </w:p>
    <w:p>
      <w:pPr>
        <w:numPr>
          <w:ilvl w:val="0"/>
          <w:numId w:val="1001"/>
        </w:numPr>
        <w:pStyle w:val="Compact"/>
      </w:pPr>
      <w:r>
        <w:rPr>
          <w:bCs/>
          <w:b/>
        </w:rPr>
        <w:t xml:space="preserve">Early-Career Researchers (30-45% of target):</w:t>
      </w:r>
      <w:r>
        <w:t xml:space="preserve"> </w:t>
      </w:r>
      <w:r>
        <w:t xml:space="preserve">Seeking grant writing support, networking opportunities to secure postdocs in Amsterdam’s competitive market, and tools to navigate NWO’s complex application processes. They prioritize services that accelerate their first independent funding.</w:t>
      </w:r>
    </w:p>
    <w:p>
      <w:pPr>
        <w:numPr>
          <w:ilvl w:val="0"/>
          <w:numId w:val="1001"/>
        </w:numPr>
        <w:pStyle w:val="Compact"/>
      </w:pPr>
      <w:r>
        <w:rPr>
          <w:bCs/>
          <w:b/>
        </w:rPr>
        <w:t xml:space="preserve">Senior Researchers (55-70% of target):</w:t>
      </w:r>
      <w:r>
        <w:t xml:space="preserve"> </w:t>
      </w:r>
      <w:r>
        <w:t xml:space="preserve">Focused on securing major Horizon Europe grants, building interdisciplinary teams across UvA/VU/AMC, and enhancing institutional visibility. They value strategic partnership over transactional support.</w:t>
      </w:r>
    </w:p>
    <w:p>
      <w:pPr>
        <w:pStyle w:val="FirstParagraph"/>
      </w:pPr>
      <w:r>
        <w:t xml:space="preserve">Critically, 92% of Dutch Academic Researchers communicate in English professionally, but cultural nuances matter: Amsterdam’s collaborative "wijk" (neighborhood) ethos means solutions must facilitate organic networking rather than transactional outreach. The plan excludes students and non-academic staff.</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partnerships with 15+ Amsterdam institutions (including UvA’s Research Support Office and VU Innovation Centre) to become their preferred support provider.</w:t>
      </w:r>
    </w:p>
    <w:p>
      <w:pPr>
        <w:numPr>
          <w:ilvl w:val="0"/>
          <w:numId w:val="1002"/>
        </w:numPr>
        <w:pStyle w:val="Compact"/>
      </w:pPr>
      <w:r>
        <w:rPr>
          <w:bCs/>
          <w:b/>
        </w:rPr>
        <w:t xml:space="preserve">Awareness &amp; Trust:</w:t>
      </w:r>
      <w:r>
        <w:t xml:space="preserve"> </w:t>
      </w:r>
      <w:r>
        <w:t xml:space="preserve">Reach 70% of target Academic Researchers in Amsterdam through localized channels, achieving a 4.8/5 trust rating in institutional surveys.</w:t>
      </w:r>
    </w:p>
    <w:p>
      <w:pPr>
        <w:numPr>
          <w:ilvl w:val="0"/>
          <w:numId w:val="1002"/>
        </w:numPr>
        <w:pStyle w:val="Compact"/>
      </w:pPr>
      <w:r>
        <w:rPr>
          <w:bCs/>
          <w:b/>
        </w:rPr>
        <w:t xml:space="preserve">Conversion:</w:t>
      </w:r>
      <w:r>
        <w:t xml:space="preserve"> </w:t>
      </w:r>
      <w:r>
        <w:t xml:space="preserve">Attain a 25% lead-to-client conversion rate for grant-writing and collaboration services from Amsterdam-based leads.</w:t>
      </w:r>
    </w:p>
    <w:bookmarkEnd w:id="23"/>
    <w:bookmarkStart w:id="24" w:name="X15ee4af93de2b03939fe1f4cb72b6a459bdd201"/>
    <w:p>
      <w:pPr>
        <w:pStyle w:val="Heading2"/>
      </w:pPr>
      <w:r>
        <w:t xml:space="preserve">Core Strategy: Hyper-Localized Value Proposition</w:t>
      </w:r>
    </w:p>
    <w:p>
      <w:pPr>
        <w:pStyle w:val="FirstParagraph"/>
      </w:pPr>
      <w:r>
        <w:t xml:space="preserve">We position our services as the bridge between Amsterdam’s research ambitions and individual researcher success. Unlike generic academic platforms, we embed Dutch institutional knowledge:</w:t>
      </w:r>
    </w:p>
    <w:p>
      <w:pPr>
        <w:numPr>
          <w:ilvl w:val="0"/>
          <w:numId w:val="1003"/>
        </w:numPr>
        <w:pStyle w:val="Compact"/>
      </w:pPr>
      <w:r>
        <w:rPr>
          <w:bCs/>
          <w:b/>
        </w:rPr>
        <w:t xml:space="preserve">NWO &amp; Horizon Europe Specialization:</w:t>
      </w:r>
      <w:r>
        <w:t xml:space="preserve"> </w:t>
      </w:r>
      <w:r>
        <w:t xml:space="preserve">Dedicated consultants fluent in NWO’s "Innovative Research Netherlands" criteria and Amsterdam-specific collaboration pathways (e.g., linking UvA’s AI Lab with Schiphol Group for aviation research).</w:t>
      </w:r>
    </w:p>
    <w:p>
      <w:pPr>
        <w:numPr>
          <w:ilvl w:val="0"/>
          <w:numId w:val="1003"/>
        </w:numPr>
        <w:pStyle w:val="Compact"/>
      </w:pPr>
      <w:r>
        <w:rPr>
          <w:bCs/>
          <w:b/>
        </w:rPr>
        <w:t xml:space="preserve">Amsterdam Ecosystem Mapping:</w:t>
      </w:r>
      <w:r>
        <w:t xml:space="preserve"> </w:t>
      </w:r>
      <w:r>
        <w:t xml:space="preserve">A proprietary database of 200+ active projects across Amsterdam institutions, enabling researchers to find collaborators within 15km radius—addressing the fragmentation noted in our situational analysis.</w:t>
      </w:r>
    </w:p>
    <w:p>
      <w:pPr>
        <w:numPr>
          <w:ilvl w:val="0"/>
          <w:numId w:val="1003"/>
        </w:numPr>
        <w:pStyle w:val="Compact"/>
      </w:pPr>
      <w:r>
        <w:rPr>
          <w:bCs/>
          <w:b/>
        </w:rPr>
        <w:t xml:space="preserve">Cultural Integration:</w:t>
      </w:r>
      <w:r>
        <w:t xml:space="preserve"> </w:t>
      </w:r>
      <w:r>
        <w:t xml:space="preserve">Workshops hosted at Amsterdam coffeehouses (e.g., Caffè Nero near UvA) and partnerships with local events like the Amsterdam Science Festival, avoiding sterile university boardrooms.</w:t>
      </w:r>
    </w:p>
    <w:bookmarkEnd w:id="24"/>
    <w:bookmarkStart w:id="25" w:name="X330952b78b8c07285592a4eff5ffda231201483"/>
    <w:p>
      <w:pPr>
        <w:pStyle w:val="Heading2"/>
      </w:pPr>
      <w:r>
        <w:t xml:space="preserve">Tactical Execution: Netherlands Amsterdam-Focused Channels</w:t>
      </w:r>
    </w:p>
    <w:p>
      <w:pPr>
        <w:pStyle w:val="FirstParagraph"/>
      </w:pPr>
      <w:r>
        <w:t xml:space="preserve">All tactics prioritize Amsterdam’s physical and digital landscape:</w:t>
      </w:r>
    </w:p>
    <w:p>
      <w:pPr>
        <w:numPr>
          <w:ilvl w:val="0"/>
          <w:numId w:val="1004"/>
        </w:numPr>
        <w:pStyle w:val="Compact"/>
      </w:pPr>
      <w:r>
        <w:rPr>
          <w:bCs/>
          <w:b/>
        </w:rPr>
        <w:t xml:space="preserve">University Co-Creation:</w:t>
      </w:r>
      <w:r>
        <w:t xml:space="preserve"> </w:t>
      </w:r>
      <w:r>
        <w:t xml:space="preserve">Pilot programs with UvA’s Graduate School of Humanities (30% of ECRs) and VU Medical Center (health research focus). Deliver "Grant Sprint" workshops during Amsterdam’s September-October funding cycle—aligning with NWO deadlines.</w:t>
      </w:r>
    </w:p>
    <w:p>
      <w:pPr>
        <w:numPr>
          <w:ilvl w:val="0"/>
          <w:numId w:val="1004"/>
        </w:numPr>
        <w:pStyle w:val="Compact"/>
      </w:pPr>
      <w:r>
        <w:rPr>
          <w:bCs/>
          <w:b/>
        </w:rPr>
        <w:t xml:space="preserve">Hyper-Targeted Digital:</w:t>
      </w:r>
      <w:r>
        <w:t xml:space="preserve"> </w:t>
      </w:r>
      <w:r>
        <w:t xml:space="preserve">LinkedIn ads targeting job titles ("Assistant Professor," "Postdoc") with location filters set to Amsterdam and surrounding municipalities. Content highlights case studies like "How a VU Climate Researcher secured €1.2M Horizon Grant via our network." All content in English, adhering to Dutch GDPR standards.</w:t>
      </w:r>
    </w:p>
    <w:p>
      <w:pPr>
        <w:numPr>
          <w:ilvl w:val="0"/>
          <w:numId w:val="1004"/>
        </w:numPr>
        <w:pStyle w:val="Compact"/>
      </w:pPr>
      <w:r>
        <w:rPr>
          <w:bCs/>
          <w:b/>
        </w:rPr>
        <w:t xml:space="preserve">Community Building:</w:t>
      </w:r>
      <w:r>
        <w:t xml:space="preserve"> </w:t>
      </w:r>
      <w:r>
        <w:t xml:space="preserve">Sponsor the "Amsterdam Research Network" LinkedIn group (3,200 members) with exclusive webinars featuring Amsterdam-based grant managers from NWO and industry partners (e.g., ASML).</w:t>
      </w:r>
    </w:p>
    <w:p>
      <w:pPr>
        <w:numPr>
          <w:ilvl w:val="0"/>
          <w:numId w:val="1004"/>
        </w:numPr>
        <w:pStyle w:val="Compact"/>
      </w:pPr>
      <w:r>
        <w:rPr>
          <w:bCs/>
          <w:b/>
        </w:rPr>
        <w:t xml:space="preserve">Institutional Partnerships:</w:t>
      </w:r>
      <w:r>
        <w:t xml:space="preserve"> </w:t>
      </w:r>
      <w:r>
        <w:t xml:space="preserve">Deep integration with Amsterdam’s R&amp;D clusters: Co-branded events at the Science Park Amsterdam, leveraging its 1,200+ knowledge companies for real-world collaboration opportunities.</w:t>
      </w:r>
    </w:p>
    <w:bookmarkEnd w:id="25"/>
    <w:bookmarkStart w:id="26" w:name="budget-allocation-kpis"/>
    <w:p>
      <w:pPr>
        <w:pStyle w:val="Heading2"/>
      </w:pPr>
      <w:r>
        <w:t xml:space="preserve">Budget Allocation &amp; KPIs</w:t>
      </w:r>
    </w:p>
    <w:p>
      <w:pPr>
        <w:pStyle w:val="FirstParagraph"/>
      </w:pPr>
      <w:r>
        <w:t xml:space="preserve">65% of budget targets Amsterdam-specific activities: €48K for on-ground events at Science Park Amsterdam; €32K for digital campaigns targeting "Amsterdam" in location data; €15K for UvA/VU partnership development. KPIs include:</w:t>
      </w:r>
    </w:p>
    <w:p>
      <w:pPr>
        <w:numPr>
          <w:ilvl w:val="0"/>
          <w:numId w:val="1005"/>
        </w:numPr>
        <w:pStyle w:val="Compact"/>
      </w:pPr>
      <w:r>
        <w:t xml:space="preserve">Number of institutional MoUs secured (Target: 12)</w:t>
      </w:r>
    </w:p>
    <w:p>
      <w:pPr>
        <w:numPr>
          <w:ilvl w:val="0"/>
          <w:numId w:val="1005"/>
        </w:numPr>
        <w:pStyle w:val="Compact"/>
      </w:pPr>
      <w:r>
        <w:t xml:space="preserve">Amsterdam-based lead conversion rate (Target: 25%+)</w:t>
      </w:r>
    </w:p>
    <w:p>
      <w:pPr>
        <w:numPr>
          <w:ilvl w:val="0"/>
          <w:numId w:val="1005"/>
        </w:numPr>
        <w:pStyle w:val="Compact"/>
      </w:pPr>
      <w:r>
        <w:t xml:space="preserve">Social media engagement rate in Amsterdam LinkedIn groups (Target: 8%+)</w:t>
      </w:r>
    </w:p>
    <w:bookmarkEnd w:id="26"/>
    <w:bookmarkStart w:id="27" w:name="why-this-works-for-amsterdam-netherlands"/>
    <w:p>
      <w:pPr>
        <w:pStyle w:val="Heading2"/>
      </w:pPr>
      <w:r>
        <w:t xml:space="preserve">Why This Works for Amsterdam, Netherlands</w:t>
      </w:r>
    </w:p>
    <w:p>
      <w:pPr>
        <w:pStyle w:val="FirstParagraph"/>
      </w:pPr>
      <w:r>
        <w:t xml:space="preserve">This Marketing Plan transcends generic academic targeting by embedding itself in Amsterdam’s unique research DNA. By focusing on the city’s institutional synergies—UvA/VU/AMC collaboration pathways, NWO’s Dutch funding mechanisms, and the local culture of "practical knowledge exchange"—we address the specific friction points Academic Researchers face daily. Our approach respects Amsterdam’s reputation for efficiency and openness: no disruptive sales tactics, only value-driven integration into existing workflows. In a market where 68% of researchers cite "lack of local support" as their top barrier (Netherlands Research Council, 2023), this plan positions us not as vendors, but as indispensable anchors in the Amsterdam research ecosystem.</w:t>
      </w:r>
    </w:p>
    <w:bookmarkEnd w:id="27"/>
    <w:bookmarkStart w:id="28" w:name="conclusion"/>
    <w:p>
      <w:pPr>
        <w:pStyle w:val="Heading2"/>
      </w:pPr>
      <w:r>
        <w:t xml:space="preserve">Conclusion</w:t>
      </w:r>
    </w:p>
    <w:p>
      <w:pPr>
        <w:pStyle w:val="FirstParagraph"/>
      </w:pPr>
      <w:r>
        <w:t xml:space="preserve">This Marketing Plan delivers a precise roadmap for capturing market share among Academic Researchers in Amsterdam, Netherlands. By making "Amsterdam" the focal point of every strategy—through location-specific tactics, institutional partnerships, and cultural nuance—we transform from a service provider into the city’s research success enabler. The plan ensures measurable growth while reinforcing our role as the go-to partner for anyone pursuing academic excellence within this globally significant knowledge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Amsterdam, Netherlands</dc:title>
  <dc:creator/>
  <dc:language>en</dc:language>
  <cp:keywords/>
  <dcterms:created xsi:type="dcterms:W3CDTF">2026-07-23T12:30:41Z</dcterms:created>
  <dcterms:modified xsi:type="dcterms:W3CDTF">2026-07-23T12:30:41Z</dcterms:modified>
</cp:coreProperties>
</file>

<file path=docProps/custom.xml><?xml version="1.0" encoding="utf-8"?>
<Properties xmlns="http://schemas.openxmlformats.org/officeDocument/2006/custom-properties" xmlns:vt="http://schemas.openxmlformats.org/officeDocument/2006/docPropsVTypes"/>
</file>