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Academic</w:t>
      </w:r>
      <w:r>
        <w:t xml:space="preserve"> </w:t>
      </w:r>
      <w:r>
        <w:t xml:space="preserve">Researchers</w:t>
      </w:r>
      <w:r>
        <w:t xml:space="preserve"> </w:t>
      </w:r>
      <w:r>
        <w:t xml:space="preserve">to</w:t>
      </w:r>
      <w:r>
        <w:t xml:space="preserve"> </w:t>
      </w:r>
      <w:r>
        <w:t xml:space="preserve">New</w:t>
      </w:r>
      <w:r>
        <w:t xml:space="preserve"> </w:t>
      </w:r>
      <w:r>
        <w:t xml:space="preserve">Zealand</w:t>
      </w:r>
      <w:r>
        <w:t xml:space="preserve"> </w:t>
      </w:r>
      <w:r>
        <w:t xml:space="preserve">Auckland</w:t>
      </w:r>
    </w:p>
    <w:bookmarkStart w:id="27" w:name="X27ad0963c7705c4f377dd1233325f90f2409c00"/>
    <w:p>
      <w:pPr>
        <w:pStyle w:val="Heading1"/>
      </w:pPr>
      <w:r>
        <w:t xml:space="preserve">Marketing Plan: Strategic Recruitment and Retention of Academic Researchers in New Zealand Auckland</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Academic Researchers within New Zealand's premier research hub—Auckland. Recognizing Auckland’s status as the economic and intellectual heart of New Zealand with world-class institutions like the University of Auckland (UoA), AUT University, and Massey University campuses, this plan leverages local strengths to position the city as an unparalleled destination for academic excellence. The initiative directly addresses critical talent gaps in key sectors including health sciences, environmental sustainability, and technology innovation while aligning with New Zealand’s national research priorities. By emphasizing Auckland’s unique blend of research infrastructure, cultural vibrancy, and quality of life, this plan ensures sustained growth in the Academic Researcher pipeline for institutions across the region.</w:t>
      </w:r>
    </w:p>
    <w:bookmarkEnd w:id="20"/>
    <w:bookmarkStart w:id="21" w:name="Xe1a90767364d094254cb6610b87c7a8f86e38d0"/>
    <w:p>
      <w:pPr>
        <w:pStyle w:val="Heading2"/>
      </w:pPr>
      <w:r>
        <w:t xml:space="preserve">Target Audience: The Academic Researcher Profile</w:t>
      </w:r>
    </w:p>
    <w:p>
      <w:pPr>
        <w:pStyle w:val="FirstParagraph"/>
      </w:pPr>
      <w:r>
        <w:t xml:space="preserve">Our primary audience comprises early-to-mid-career Academic Researchers (PhD holders or postdoctoral candidates) with 0–10 years of experience, specializing in high-impact fields such as biotechnology, climate science, AI ethics, and Māori and Pacific research methodologies. These researchers prioritize:</w:t>
      </w:r>
    </w:p>
    <w:p>
      <w:pPr>
        <w:numPr>
          <w:ilvl w:val="0"/>
          <w:numId w:val="1001"/>
        </w:numPr>
        <w:pStyle w:val="Compact"/>
      </w:pPr>
      <w:r>
        <w:t xml:space="preserve">Access to cutting-edge facilities (e.g., Auckland BioMedTech Centre)</w:t>
      </w:r>
    </w:p>
    <w:p>
      <w:pPr>
        <w:numPr>
          <w:ilvl w:val="0"/>
          <w:numId w:val="1001"/>
        </w:numPr>
        <w:pStyle w:val="Compact"/>
      </w:pPr>
      <w:r>
        <w:t xml:space="preserve">Collaboration opportunities within New Zealand’s national research institutes (e.g., ESR, GNS Science)</w:t>
      </w:r>
    </w:p>
    <w:p>
      <w:pPr>
        <w:numPr>
          <w:ilvl w:val="0"/>
          <w:numId w:val="1001"/>
        </w:numPr>
        <w:pStyle w:val="Compact"/>
      </w:pPr>
      <w:r>
        <w:t xml:space="preserve">Competitive funding pathways aligned with NZ government priorities (MBIE grants)</w:t>
      </w:r>
    </w:p>
    <w:p>
      <w:pPr>
        <w:numPr>
          <w:ilvl w:val="0"/>
          <w:numId w:val="1001"/>
        </w:numPr>
        <w:pStyle w:val="Compact"/>
      </w:pPr>
      <w:r>
        <w:t xml:space="preserve">A supportive work-life balance in a globally recognized city</w:t>
      </w:r>
    </w:p>
    <w:p>
      <w:pPr>
        <w:pStyle w:val="FirstParagraph"/>
      </w:pPr>
      <w:r>
        <w:t xml:space="preserve">Crucially, the plan targets both international scholars seeking relocation to Aotearoa and domestic researchers considering Auckland as a career destination over other cities. The campaign will highlight Auckland’s unique position as the only major Pacific Rim research hub in New Zealand—a strategic advantage for those wanting to contribute to regional sustainability and innovation.</w:t>
      </w:r>
    </w:p>
    <w:bookmarkEnd w:id="21"/>
    <w:bookmarkStart w:id="22" w:name="X72c64028e5309a878c81d7031a9ffdd910c9e7e"/>
    <w:p>
      <w:pPr>
        <w:pStyle w:val="Heading2"/>
      </w:pPr>
      <w:r>
        <w:t xml:space="preserve">Market Analysis: New Zealand Auckland’s Research Landscape</w:t>
      </w:r>
    </w:p>
    <w:p>
      <w:pPr>
        <w:pStyle w:val="FirstParagraph"/>
      </w:pPr>
      <w:r>
        <w:t xml:space="preserve">Auckland contributes 24% of New Zealand’s total research output, with UoA alone ranking 76th globally in the QS World University Rankings. However, challenges persist: competition from Australia and Singapore for international talent, high cost of living (though partially offset by tax incentives), and underrepresentation of Pacific Island researchers in senior roles. The plan capitalizes on Auckland’s strengths:</w:t>
      </w:r>
    </w:p>
    <w:p>
      <w:pPr>
        <w:numPr>
          <w:ilvl w:val="0"/>
          <w:numId w:val="1002"/>
        </w:numPr>
        <w:pStyle w:val="Compact"/>
      </w:pPr>
      <w:r>
        <w:rPr>
          <w:bCs/>
          <w:b/>
        </w:rPr>
        <w:t xml:space="preserve">Strategic Location:</w:t>
      </w:r>
      <w:r>
        <w:t xml:space="preserve"> </w:t>
      </w:r>
      <w:r>
        <w:t xml:space="preserve">Gateway to Asia-Pacific with direct flights to 30+ countries, facilitating global collaboration.</w:t>
      </w:r>
    </w:p>
    <w:p>
      <w:pPr>
        <w:numPr>
          <w:ilvl w:val="0"/>
          <w:numId w:val="1002"/>
        </w:numPr>
        <w:pStyle w:val="Compact"/>
      </w:pPr>
      <w:r>
        <w:rPr>
          <w:bCs/>
          <w:b/>
        </w:rPr>
        <w:t xml:space="preserve">Cultural Capital:</w:t>
      </w:r>
      <w:r>
        <w:t xml:space="preserve"> </w:t>
      </w:r>
      <w:r>
        <w:t xml:space="preserve">A multicultural city (42% of residents born overseas) that embraces Te Tiriti o Waitangi partnerships in research design.</w:t>
      </w:r>
    </w:p>
    <w:p>
      <w:pPr>
        <w:numPr>
          <w:ilvl w:val="0"/>
          <w:numId w:val="1002"/>
        </w:numPr>
        <w:pStyle w:val="Compact"/>
      </w:pPr>
      <w:r>
        <w:rPr>
          <w:bCs/>
          <w:b/>
        </w:rPr>
        <w:t xml:space="preserve">Industry-Academia Synergy:</w:t>
      </w:r>
      <w:r>
        <w:t xml:space="preserve"> </w:t>
      </w:r>
      <w:r>
        <w:t xml:space="preserve">Proximity to biotech firms (e.g., Biomaterials NZ) and tech startups in the Auckland Growth Centre.</w:t>
      </w:r>
    </w:p>
    <w:p>
      <w:pPr>
        <w:pStyle w:val="FirstParagraph"/>
      </w:pPr>
      <w:r>
        <w:t xml:space="preserve">This analysis confirms that a tailored Marketing Plan for Academic Researchers must position Auckland not just as a location, but as an ecosystem where research translates into real-world impact across New Zealand and the Pacific.</w:t>
      </w:r>
    </w:p>
    <w:bookmarkEnd w:id="22"/>
    <w:bookmarkStart w:id="23" w:name="core-marketing-strategies"/>
    <w:p>
      <w:pPr>
        <w:pStyle w:val="Heading2"/>
      </w:pPr>
      <w:r>
        <w:t xml:space="preserve">Core Marketing Strategies</w:t>
      </w:r>
    </w:p>
    <w:p>
      <w:pPr>
        <w:numPr>
          <w:ilvl w:val="0"/>
          <w:numId w:val="1003"/>
        </w:numPr>
        <w:pStyle w:val="Compact"/>
      </w:pPr>
      <w:r>
        <w:rPr>
          <w:bCs/>
          <w:b/>
        </w:rPr>
        <w:t xml:space="preserve">Personalized Digital Campaigns:</w:t>
      </w:r>
      <w:r>
        <w:t xml:space="preserve"> </w:t>
      </w:r>
      <w:r>
        <w:t xml:space="preserve">Develop targeted LinkedIn/ResearchGate ads highlighting Auckland-specific opportunities. Example: "Join UoA’s Climate Resilience Lab – Funded by MBIE, Based in Auckland, Working with Pacific Communities."</w:t>
      </w:r>
    </w:p>
    <w:p>
      <w:pPr>
        <w:numPr>
          <w:ilvl w:val="0"/>
          <w:numId w:val="1003"/>
        </w:numPr>
        <w:pStyle w:val="Compact"/>
      </w:pPr>
      <w:r>
        <w:rPr>
          <w:bCs/>
          <w:b/>
        </w:rPr>
        <w:t xml:space="preserve">University-Industry Partnerships:</w:t>
      </w:r>
      <w:r>
        <w:t xml:space="preserve"> </w:t>
      </w:r>
      <w:r>
        <w:t xml:space="preserve">Co-create research projects between institutions (e.g., AUT + Callaghan Innovation) to showcase applied outcomes. Feature these in case studies for potential Academic Researchers.</w:t>
      </w:r>
    </w:p>
    <w:p>
      <w:pPr>
        <w:numPr>
          <w:ilvl w:val="0"/>
          <w:numId w:val="1003"/>
        </w:numPr>
        <w:pStyle w:val="Compact"/>
      </w:pPr>
      <w:r>
        <w:rPr>
          <w:bCs/>
          <w:b/>
        </w:rPr>
        <w:t xml:space="preserve">Community Immersion Events:</w:t>
      </w:r>
      <w:r>
        <w:t xml:space="preserve"> </w:t>
      </w:r>
      <w:r>
        <w:t xml:space="preserve">Host quarterly "Auckland Research Experience" weekends: Site tours of Auckland labs, networking with local Māori research councils (e.g., Te Aka Waihanga), and cultural immersion activities. Prioritize visa assistance workshops for international candidates.</w:t>
      </w:r>
    </w:p>
    <w:p>
      <w:pPr>
        <w:numPr>
          <w:ilvl w:val="0"/>
          <w:numId w:val="1003"/>
        </w:numPr>
        <w:pStyle w:val="Compact"/>
      </w:pPr>
      <w:r>
        <w:rPr>
          <w:bCs/>
          <w:b/>
        </w:rPr>
        <w:t xml:space="preserve">Alumni Advocacy Program:</w:t>
      </w:r>
      <w:r>
        <w:t xml:space="preserve"> </w:t>
      </w:r>
      <w:r>
        <w:t xml:space="preserve">Mobilize current Academic Researchers in Auckland to share authentic stories via video testimonials on social media, emphasizing work-life balance (e.g., "I lead a research team here while hiking the Waitakere Ranges every weekend").</w:t>
      </w:r>
    </w:p>
    <w:bookmarkEnd w:id="23"/>
    <w:bookmarkStart w:id="24" w:name="implementation-timeline-12-month-plan"/>
    <w:p>
      <w:pPr>
        <w:pStyle w:val="Heading2"/>
      </w:pPr>
      <w:r>
        <w:t xml:space="preserve">Implementation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Create Auckland Research Ecosystem Hub (website) with funding databases, visa guides, and researcher profiles. Launch LinkedIn campaign targeting global academia.</w:t>
            </w:r>
          </w:p>
        </w:tc>
      </w:tr>
      <w:tr>
        <w:tc>
          <w:tcPr/>
          <w:p>
            <w:pPr>
              <w:pStyle w:val="Compact"/>
              <w:jc w:val="left"/>
            </w:pPr>
            <w:r>
              <w:t xml:space="preserve">Q2 2024</w:t>
            </w:r>
          </w:p>
        </w:tc>
        <w:tc>
          <w:tcPr/>
          <w:p>
            <w:pPr>
              <w:pStyle w:val="Compact"/>
              <w:jc w:val="left"/>
            </w:pPr>
            <w:r>
              <w:t xml:space="preserve">Host inaugural "Auckland Research Summit" at UoA; partner with Pacific Island research networks to co-design recruitment materials.</w:t>
            </w:r>
          </w:p>
        </w:tc>
      </w:tr>
      <w:tr>
        <w:tc>
          <w:tcPr/>
          <w:p>
            <w:pPr>
              <w:pStyle w:val="Compact"/>
              <w:jc w:val="left"/>
            </w:pPr>
            <w:r>
              <w:t xml:space="preserve">Q3 2024</w:t>
            </w:r>
          </w:p>
        </w:tc>
        <w:tc>
          <w:tcPr/>
          <w:p>
            <w:pPr>
              <w:pStyle w:val="Compact"/>
              <w:jc w:val="left"/>
            </w:pPr>
            <w:r>
              <w:t xml:space="preserve">Deploy alumni advocacy program; secure funding partnerships with NZ-based tech firms for sponsored research roles.</w:t>
            </w:r>
          </w:p>
        </w:tc>
      </w:tr>
      <w:tr>
        <w:tc>
          <w:tcPr/>
          <w:p>
            <w:pPr>
              <w:pStyle w:val="Compact"/>
              <w:jc w:val="left"/>
            </w:pPr>
            <w:r>
              <w:t xml:space="preserve">Q4 2024</w:t>
            </w:r>
          </w:p>
        </w:tc>
        <w:tc>
          <w:tcPr/>
          <w:p>
            <w:pPr>
              <w:pStyle w:val="Compact"/>
              <w:jc w:val="left"/>
            </w:pPr>
            <w:r>
              <w:t xml:space="preserve">Evaluate metrics (e.g., applications from target regions, retention rates); refine strategy for 2025 based on data.</w:t>
            </w:r>
          </w:p>
        </w:tc>
      </w:tr>
    </w:tbl>
    <w:bookmarkEnd w:id="24"/>
    <w:bookmarkStart w:id="25" w:name="kpis-and-measurement"/>
    <w:p>
      <w:pPr>
        <w:pStyle w:val="Heading2"/>
      </w:pPr>
      <w:r>
        <w:t xml:space="preserve">KPIs and Measurement</w:t>
      </w:r>
    </w:p>
    <w:p>
      <w:pPr>
        <w:pStyle w:val="FirstParagraph"/>
      </w:pPr>
      <w:r>
        <w:t xml:space="preserve">Success will be measured through:</w:t>
      </w:r>
    </w:p>
    <w:p>
      <w:pPr>
        <w:numPr>
          <w:ilvl w:val="0"/>
          <w:numId w:val="1004"/>
        </w:numPr>
        <w:pStyle w:val="Compact"/>
      </w:pPr>
      <w:r>
        <w:rPr>
          <w:bCs/>
          <w:b/>
        </w:rPr>
        <w:t xml:space="preserve">Quantitative:</w:t>
      </w:r>
      <w:r>
        <w:t xml:space="preserve"> </w:t>
      </w:r>
      <w:r>
        <w:t xml:space="preserve">30% increase in Academic Researcher applications from targeted regions (Southeast Asia, Pacific Islands) within 18 months; 75% retention rate after Year 1.</w:t>
      </w:r>
    </w:p>
    <w:p>
      <w:pPr>
        <w:numPr>
          <w:ilvl w:val="0"/>
          <w:numId w:val="1004"/>
        </w:numPr>
        <w:pStyle w:val="Compact"/>
      </w:pPr>
      <w:r>
        <w:rPr>
          <w:bCs/>
          <w:b/>
        </w:rPr>
        <w:t xml:space="preserve">Qualitative:</w:t>
      </w:r>
      <w:r>
        <w:t xml:space="preserve"> </w:t>
      </w:r>
      <w:r>
        <w:t xml:space="preserve">Positive sentiment in researcher surveys regarding Auckland’s support systems (e.g., "Auckland’s Māori research partnerships significantly enhanced my project impact").</w:t>
      </w:r>
    </w:p>
    <w:p>
      <w:pPr>
        <w:numPr>
          <w:ilvl w:val="0"/>
          <w:numId w:val="1004"/>
        </w:numPr>
        <w:pStyle w:val="Compact"/>
      </w:pPr>
      <w:r>
        <w:rPr>
          <w:bCs/>
          <w:b/>
        </w:rPr>
        <w:t xml:space="preserve">Economic Impact:</w:t>
      </w:r>
      <w:r>
        <w:t xml:space="preserve"> </w:t>
      </w:r>
      <w:r>
        <w:t xml:space="preserve">$5M+ in new collaborative research funding secured for Auckland institutions via the initiative.</w:t>
      </w:r>
    </w:p>
    <w:p>
      <w:pPr>
        <w:pStyle w:val="FirstParagraph"/>
      </w:pPr>
      <w:r>
        <w:t xml:space="preserve">All KPIs are benchmarked against national averages to ensure New Zealand Auckland’s distinct value proposition is validated. For instance, NZ’s average retention rate for early-career researchers is 62%—we aim to exceed this by 13 percentage points.</w:t>
      </w:r>
    </w:p>
    <w:bookmarkEnd w:id="25"/>
    <w:bookmarkStart w:id="26" w:name="conclusion-the-auckland-advantage"/>
    <w:p>
      <w:pPr>
        <w:pStyle w:val="Heading2"/>
      </w:pPr>
      <w:r>
        <w:t xml:space="preserve">Conclusion: The Auckland Advantage</w:t>
      </w:r>
    </w:p>
    <w:p>
      <w:pPr>
        <w:pStyle w:val="FirstParagraph"/>
      </w:pPr>
      <w:r>
        <w:t xml:space="preserve">This Marketing Plan transcends generic recruitment—it positions New Zealand Auckland as the definitive destination for Academic Researchers committed to impactful, culturally informed science. By embedding the city’s unique assets (Pacific connectivity, Te Tiriti-aligned research, and industry collaboration) into every outreach touchpoint, we create an irresistible value proposition. The plan ensures that "Academic Researcher" opportunities in New Zealand Auckland are not merely available but celebrated as catalysts for global change. As the Pacific region’s most dynamic research hub, Auckland’s ability to attract world-class talent directly fuels New Zealand’s innovation economy and reinforces its leadership in sustainable, equitable science. This initiative is not just a recruitment strategy; it is an investment in the future of New Zealand’s academic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Academic Researchers to New Zealand Auckland</dc:title>
  <dc:creator/>
  <dc:language>en</dc:language>
  <cp:keywords/>
  <dcterms:created xsi:type="dcterms:W3CDTF">2025-12-15T19:50:35Z</dcterms:created>
  <dcterms:modified xsi:type="dcterms:W3CDTF">2025-12-15T19:50:35Z</dcterms:modified>
</cp:coreProperties>
</file>

<file path=docProps/custom.xml><?xml version="1.0" encoding="utf-8"?>
<Properties xmlns="http://schemas.openxmlformats.org/officeDocument/2006/custom-properties" xmlns:vt="http://schemas.openxmlformats.org/officeDocument/2006/docPropsVTypes"/>
</file>