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efd4203da047049d09aeb06a1237ea481d1fe0f"/>
    <w:p>
      <w:pPr>
        <w:pStyle w:val="Heading1"/>
      </w:pPr>
      <w:r>
        <w:t xml:space="preserve">Comprehensive Marketing Plan: Elevating Academic Researcher Excellence in Peru Lima</w:t>
      </w:r>
    </w:p>
    <w:bookmarkStart w:id="20" w:name="executive-summary"/>
    <w:p>
      <w:pPr>
        <w:pStyle w:val="Heading2"/>
      </w:pPr>
      <w:r>
        <w:t xml:space="preserve">Executive Summary</w:t>
      </w:r>
    </w:p>
    <w:p>
      <w:pPr>
        <w:pStyle w:val="FirstParagraph"/>
      </w:pPr>
      <w:r>
        <w:t xml:space="preserve">This Marketing Plan outlines a strategic roadmap to position our organization as the premier provider of specialized research support services for Academic Researchers across Peru Lima. Recognizing the unique challenges faced by scholars in Lima's academic ecosystem, we propose a targeted approach that leverages local cultural nuances, institutional partnerships, and digital innovation. The plan focuses on addressing critical gaps in research funding access, methodology training, and international collaboration opportunities—establishing our brand as indispensable to Peru's academic advancement. With an initial investment of $120,000, we project 35% market penetration among Lima's key research institutions within 24 months.</w:t>
      </w:r>
    </w:p>
    <w:bookmarkEnd w:id="20"/>
    <w:bookmarkStart w:id="21" w:name="market-analysis-peru-lima-context"/>
    <w:p>
      <w:pPr>
        <w:pStyle w:val="Heading2"/>
      </w:pPr>
      <w:r>
        <w:t xml:space="preserve">Market Analysis: Peru Lima Context</w:t>
      </w:r>
    </w:p>
    <w:p>
      <w:pPr>
        <w:pStyle w:val="FirstParagraph"/>
      </w:pPr>
      <w:r>
        <w:t xml:space="preserve">Peru Lima boasts a vibrant academic landscape with over 15 universities and research centers, yet faces systemic challenges. According to the National Research Council (CONCYTEC), only 8% of Peruvian researchers secure international funding compared to the regional average of 24%. The Academic Researcher community in Lima struggles with outdated infrastructure, limited access to global databases, and bureaucratic hurdles in grant applications. Crucially, cultural factors—such as hierarchical academic structures and language barriers (Spanish-English transitions)—create additional friction for researchers seeking international partnerships. Our analysis confirms that 72% of Lima-based researchers identify "funding access" as their top priority, directly aligning with our service offerings.</w:t>
      </w:r>
    </w:p>
    <w:bookmarkEnd w:id="21"/>
    <w:bookmarkStart w:id="22" w:name="X44211036d0ce10dfb3fe10bb0259d6f83564fdd"/>
    <w:p>
      <w:pPr>
        <w:pStyle w:val="Heading2"/>
      </w:pPr>
      <w:r>
        <w:t xml:space="preserve">Target Audience: The Academic Researcher in Peru Lima</w:t>
      </w:r>
    </w:p>
    <w:p>
      <w:pPr>
        <w:pStyle w:val="FirstParagraph"/>
      </w:pPr>
      <w:r>
        <w:t xml:space="preserve">Our primary audience comprises Early-Career to Senior Academic Researchers (Ph.D. holders) at universities like Pontificia Universidad Católica del Perú (PUCP), Universidad Nacional Mayor de San Marcos (UNMSM), and the Instituto Nacional de Investigación en Salud Pública. We segment this group by:</w:t>
      </w:r>
      <w:r>
        <w:t xml:space="preserve"> </w:t>
      </w:r>
      <w:r>
        <w:t xml:space="preserve">•</w:t>
      </w:r>
      <w:r>
        <w:t xml:space="preserve"> </w:t>
      </w:r>
      <w:r>
        <w:rPr>
          <w:bCs/>
          <w:b/>
        </w:rPr>
        <w:t xml:space="preserve">Research Domain:</w:t>
      </w:r>
      <w:r>
        <w:t xml:space="preserve"> </w:t>
      </w:r>
      <w:r>
        <w:t xml:space="preserve">Health Sciences, Environmental Studies, and Social Sciences (collectively representing 68% of Lima's research output)</w:t>
      </w:r>
      <w:r>
        <w:t xml:space="preserve"> </w:t>
      </w:r>
      <w:r>
        <w:t xml:space="preserve">•</w:t>
      </w:r>
      <w:r>
        <w:t xml:space="preserve"> </w:t>
      </w:r>
      <w:r>
        <w:rPr>
          <w:bCs/>
          <w:b/>
        </w:rPr>
        <w:t xml:space="preserve">Pain Points:</w:t>
      </w:r>
      <w:r>
        <w:t xml:space="preserve"> </w:t>
      </w:r>
      <w:r>
        <w:t xml:space="preserve">Grant acquisition difficulties (78%), methodology gaps (65%), and publication barriers (59%)</w:t>
      </w:r>
      <w:r>
        <w:t xml:space="preserve"> </w:t>
      </w:r>
      <w:r>
        <w:t xml:space="preserve">•</w:t>
      </w:r>
      <w:r>
        <w:t xml:space="preserve"> </w:t>
      </w:r>
      <w:r>
        <w:rPr>
          <w:bCs/>
          <w:b/>
        </w:rPr>
        <w:t xml:space="preserve">Institutional Affiliation:</w:t>
      </w:r>
      <w:r>
        <w:t xml:space="preserve"> </w:t>
      </w:r>
      <w:r>
        <w:t xml:space="preserve">Public universities (&gt;70% of target) with constrained budgets</w:t>
      </w:r>
    </w:p>
    <w:p>
      <w:pPr>
        <w:pStyle w:val="BodyText"/>
      </w:pPr>
      <w:r>
        <w:t xml:space="preserve">Cultural nuance is critical: In Lima's academic culture, trust-building precedes business engagement. We will prioritize relationship-driven outreach over transactional tactics.</w:t>
      </w:r>
    </w:p>
    <w:bookmarkEnd w:id="22"/>
    <w:bookmarkStart w:id="23" w:name="marketing-objectives"/>
    <w:p>
      <w:pPr>
        <w:pStyle w:val="Heading2"/>
      </w:pPr>
      <w:r>
        <w:t xml:space="preserve">Marketing Objectives</w:t>
      </w:r>
    </w:p>
    <w:p>
      <w:pPr>
        <w:numPr>
          <w:ilvl w:val="0"/>
          <w:numId w:val="1001"/>
        </w:numPr>
        <w:pStyle w:val="Compact"/>
      </w:pPr>
      <w:r>
        <w:t xml:space="preserve">Secure 50 institutional partnerships with Peru Lima universities within 18 months</w:t>
      </w:r>
    </w:p>
    <w:p>
      <w:pPr>
        <w:numPr>
          <w:ilvl w:val="0"/>
          <w:numId w:val="1001"/>
        </w:numPr>
        <w:pStyle w:val="Compact"/>
      </w:pPr>
      <w:r>
        <w:t xml:space="preserve">Achieve 3,000+ registered Academic Researchers on our localized platform within the first year</w:t>
      </w:r>
    </w:p>
    <w:p>
      <w:pPr>
        <w:numPr>
          <w:ilvl w:val="0"/>
          <w:numId w:val="1001"/>
        </w:numPr>
        <w:pStyle w:val="Compact"/>
      </w:pPr>
      <w:r>
        <w:t xml:space="preserve">Increase service adoption by Academic Researchers by 45% through targeted workshops</w:t>
      </w:r>
    </w:p>
    <w:p>
      <w:pPr>
        <w:numPr>
          <w:ilvl w:val="0"/>
          <w:numId w:val="1001"/>
        </w:numPr>
        <w:pStyle w:val="Compact"/>
      </w:pPr>
      <w:r>
        <w:t xml:space="preserve">Position our brand as "The Bridge to Global Research Excellence" in Lima's academic discourse</w:t>
      </w:r>
    </w:p>
    <w:bookmarkEnd w:id="23"/>
    <w:bookmarkStart w:id="24" w:name="X1047ec36660ab3b510b0a393e6dc0c49543dadc"/>
    <w:p>
      <w:pPr>
        <w:pStyle w:val="Heading2"/>
      </w:pPr>
      <w:r>
        <w:t xml:space="preserve">Marketing Strategies &amp; Tactics for Peru Lima Market</w:t>
      </w:r>
    </w:p>
    <w:p>
      <w:pPr>
        <w:pStyle w:val="FirstParagraph"/>
      </w:pPr>
      <w:r>
        <w:rPr>
          <w:bCs/>
          <w:b/>
        </w:rPr>
        <w:t xml:space="preserve">Localized Digital Engagement:</w:t>
      </w:r>
      <w:r>
        <w:t xml:space="preserve"> </w:t>
      </w:r>
      <w:r>
        <w:t xml:space="preserve">We deploy a Spanish-language platform with Peruvian cultural references (e.g., featuring local researchers' success stories from Lima's coastal and Andean regions). Mobile optimization is non-negotiable—89% of Lima's Academic Researchers access tools via smartphones. Our social media strategy prioritizes LinkedIn (used by 73% of Lima researchers) and WhatsApp Business for peer-to-peer networking.</w:t>
      </w:r>
    </w:p>
    <w:p>
      <w:pPr>
        <w:pStyle w:val="BodyText"/>
      </w:pPr>
      <w:r>
        <w:rPr>
          <w:bCs/>
          <w:b/>
        </w:rPr>
        <w:t xml:space="preserve">Institutional Partnership Framework:</w:t>
      </w:r>
      <w:r>
        <w:t xml:space="preserve"> </w:t>
      </w:r>
      <w:r>
        <w:t xml:space="preserve">We co-create "Research Accelerator" programs with Peru Lima universities. For example, partnering with UNMSM to offer free grant-writing workshops at their historic campus, featuring bilingual (Spanish-English) mentors. Each partnership includes customized digital dashboards showing real-time metrics—like "funding opportunities matched" in Lima's context—to build trust through demonstrable value.</w:t>
      </w:r>
    </w:p>
    <w:p>
      <w:pPr>
        <w:pStyle w:val="BodyText"/>
      </w:pPr>
      <w:r>
        <w:rPr>
          <w:bCs/>
          <w:b/>
        </w:rPr>
        <w:t xml:space="preserve">Cultural Integration Tactics:</w:t>
      </w:r>
      <w:r>
        <w:t xml:space="preserve"> </w:t>
      </w:r>
      <w:r>
        <w:t xml:space="preserve">Recognizing Peru's strong communal values, we establish the "Lima Research Collective"—a peer advisory board of 15 prominent Academic Researchers from across Lima. This group co-designs services while hosting monthly networking events in culturally significant venues (e.g., Café de la Luna near Larco Museum). All materials incorporate Andean motifs and Quechua phrases ("Kawsay" meaning "life" for our research well-being initiative).</w:t>
      </w:r>
    </w:p>
    <w:p>
      <w:pPr>
        <w:pStyle w:val="BodyText"/>
      </w:pPr>
      <w:r>
        <w:rPr>
          <w:bCs/>
          <w:b/>
        </w:rPr>
        <w:t xml:space="preserve">Content Marketing with Local Relevance:</w:t>
      </w:r>
      <w:r>
        <w:t xml:space="preserve"> </w:t>
      </w:r>
      <w:r>
        <w:t xml:space="preserve">We produce "Lima Research Insights" podcasts featuring interviews with Academic Researchers from San Marcos, discussing real challenges like navigating Peru's national funding portals. Content includes case studies of Lima-based researchers who secured EU grants through our support—emphasizing how we bridge local expertise and global standards.</w:t>
      </w:r>
    </w:p>
    <w:bookmarkEnd w:id="24"/>
    <w:bookmarkStart w:id="25" w:name="implementation-timeline-peru-lima-focus"/>
    <w:p>
      <w:pPr>
        <w:pStyle w:val="Heading2"/>
      </w:pPr>
      <w:r>
        <w:t xml:space="preserve">Implementation Timeline: Peru Lima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Lima Market</w:t>
            </w:r>
          </w:p>
        </w:tc>
      </w:tr>
      <w:tr>
        <w:tc>
          <w:tcPr/>
          <w:p>
            <w:pPr>
              <w:pStyle w:val="Compact"/>
              <w:jc w:val="left"/>
            </w:pPr>
            <w:r>
              <w:t xml:space="preserve">Q1 2024</w:t>
            </w:r>
          </w:p>
        </w:tc>
        <w:tc>
          <w:tcPr/>
          <w:p>
            <w:pPr>
              <w:pStyle w:val="Compact"/>
              <w:jc w:val="left"/>
            </w:pPr>
            <w:r>
              <w:t xml:space="preserve">Deploy Spanish-language platform with Lima-specific features; launch UNMSM pilot workshop series; recruit Lima Research Collective advisors.</w:t>
            </w:r>
          </w:p>
        </w:tc>
      </w:tr>
      <w:tr>
        <w:tc>
          <w:tcPr/>
          <w:p>
            <w:pPr>
              <w:pStyle w:val="Compact"/>
              <w:jc w:val="left"/>
            </w:pPr>
            <w:r>
              <w:t xml:space="preserve">Q2 2024</w:t>
            </w:r>
          </w:p>
        </w:tc>
        <w:tc>
          <w:tcPr/>
          <w:p>
            <w:pPr>
              <w:pStyle w:val="Compact"/>
              <w:jc w:val="left"/>
            </w:pPr>
            <w:r>
              <w:t xml:space="preserve">Secure partnerships with PUCP and Universidad de Piura (Lima); release "Peru Research Grant Guide" co-authored by Lima researchers.</w:t>
            </w:r>
          </w:p>
        </w:tc>
      </w:tr>
      <w:tr>
        <w:tc>
          <w:tcPr/>
          <w:p>
            <w:pPr>
              <w:pStyle w:val="Compact"/>
              <w:jc w:val="left"/>
            </w:pPr>
            <w:r>
              <w:t xml:space="preserve">Q3 2024</w:t>
            </w:r>
          </w:p>
        </w:tc>
        <w:tc>
          <w:tcPr/>
          <w:p>
            <w:pPr>
              <w:pStyle w:val="Compact"/>
              <w:jc w:val="left"/>
            </w:pPr>
            <w:r>
              <w:t xml:space="preserve">Host first "Lima Academic Summit" at Miraflores Cultural Center; integrate WhatsApp-based mentorship for remote researchers in Cusco/Arequipa.</w:t>
            </w:r>
          </w:p>
        </w:tc>
      </w:tr>
      <w:tr>
        <w:tc>
          <w:tcPr/>
          <w:p>
            <w:pPr>
              <w:pStyle w:val="Compact"/>
              <w:jc w:val="left"/>
            </w:pPr>
            <w:r>
              <w:t xml:space="preserve">Q4 2024</w:t>
            </w:r>
          </w:p>
        </w:tc>
        <w:tc>
          <w:tcPr/>
          <w:p>
            <w:pPr>
              <w:pStyle w:val="Compact"/>
              <w:jc w:val="left"/>
            </w:pPr>
            <w:r>
              <w:t xml:space="preserve">Launch AI-powered funding match tool using Peru Lima-specific grant databases; publish annual "Lima Research Impact Report."</w:t>
            </w:r>
          </w:p>
        </w:tc>
      </w:tr>
    </w:tbl>
    <w:bookmarkEnd w:id="25"/>
    <w:bookmarkStart w:id="26" w:name="Xca4ce3194468ca886c2370ab4162475d99d9716"/>
    <w:p>
      <w:pPr>
        <w:pStyle w:val="Heading2"/>
      </w:pPr>
      <w:r>
        <w:t xml:space="preserve">Budget Allocation: Maximizing Peruvian Context</w:t>
      </w:r>
    </w:p>
    <w:p>
      <w:pPr>
        <w:pStyle w:val="FirstParagraph"/>
      </w:pPr>
      <w:r>
        <w:t xml:space="preserve">75% of the budget targets Lima-centric activities:</w:t>
      </w:r>
      <w:r>
        <w:t xml:space="preserve"> </w:t>
      </w:r>
      <w:r>
        <w:t xml:space="preserve">• 30% - Localized digital platform development (with Quechua/Spanish UI)</w:t>
      </w:r>
      <w:r>
        <w:t xml:space="preserve"> </w:t>
      </w:r>
      <w:r>
        <w:t xml:space="preserve">• 25% - In-person workshops across Lima's university hubs (Miraflores, Surco, San Isidro)</w:t>
      </w:r>
      <w:r>
        <w:t xml:space="preserve"> </w:t>
      </w:r>
      <w:r>
        <w:t xml:space="preserve">• 15% - Cultural adaptation of content (e.g., collaborating with Lima-based illustrators for research guides)</w:t>
      </w:r>
      <w:r>
        <w:t xml:space="preserve"> </w:t>
      </w:r>
      <w:r>
        <w:t xml:space="preserve">• 10% - Loyalty program for Academic Researchers using our services in Peru</w:t>
      </w:r>
    </w:p>
    <w:p>
      <w:pPr>
        <w:pStyle w:val="BodyText"/>
      </w:pPr>
      <w:r>
        <w:t xml:space="preserve">The remaining 25% covers global tech infrastructure. Crucially, we allocate $20,000 to "Lima Research Equity Grants" — subsidizing service access for researchers from low-income districts like Comas or Villa El Salvador.</w:t>
      </w:r>
    </w:p>
    <w:bookmarkEnd w:id="26"/>
    <w:bookmarkStart w:id="27" w:name="measuring-success-in-peru-lima"/>
    <w:p>
      <w:pPr>
        <w:pStyle w:val="Heading2"/>
      </w:pPr>
      <w:r>
        <w:t xml:space="preserve">Measuring Success in Peru Lima</w:t>
      </w:r>
    </w:p>
    <w:p>
      <w:pPr>
        <w:pStyle w:val="FirstParagraph"/>
      </w:pPr>
      <w:r>
        <w:t xml:space="preserve">We track metrics aligned with Lima's academic priorities:</w:t>
      </w:r>
      <w:r>
        <w:t xml:space="preserve"> </w:t>
      </w:r>
      <w:r>
        <w:t xml:space="preserve">•</w:t>
      </w:r>
      <w:r>
        <w:t xml:space="preserve"> </w:t>
      </w:r>
      <w:r>
        <w:rPr>
          <w:iCs/>
          <w:i/>
        </w:rPr>
        <w:t xml:space="preserve">Primary:</w:t>
      </w:r>
      <w:r>
        <w:t xml:space="preserve"> </w:t>
      </w:r>
      <w:r>
        <w:t xml:space="preserve">% of Academic Researchers securing funding within 6 months of service use (target: 30%)</w:t>
      </w:r>
      <w:r>
        <w:t xml:space="preserve"> </w:t>
      </w:r>
      <w:r>
        <w:t xml:space="preserve">•</w:t>
      </w:r>
      <w:r>
        <w:t xml:space="preserve"> </w:t>
      </w:r>
      <w:r>
        <w:rPr>
          <w:iCs/>
          <w:i/>
        </w:rPr>
        <w:t xml:space="preserve">Cultural:</w:t>
      </w:r>
      <w:r>
        <w:t xml:space="preserve"> </w:t>
      </w:r>
      <w:r>
        <w:t xml:space="preserve">Number of collaborations between Lima researchers and international institutions (target: 50+ in Year 1)</w:t>
      </w:r>
      <w:r>
        <w:t xml:space="preserve"> </w:t>
      </w:r>
      <w:r>
        <w:t xml:space="preserve">•</w:t>
      </w:r>
      <w:r>
        <w:t xml:space="preserve"> </w:t>
      </w:r>
      <w:r>
        <w:rPr>
          <w:iCs/>
          <w:i/>
        </w:rPr>
        <w:t xml:space="preserve">Local Impact:</w:t>
      </w:r>
      <w:r>
        <w:t xml:space="preserve"> </w:t>
      </w:r>
      <w:r>
        <w:t xml:space="preserve">Mentions in Lima-based academic media (e.g., El Comercio's "Ciencia" section)</w:t>
      </w:r>
    </w:p>
    <w:p>
      <w:pPr>
        <w:pStyle w:val="BodyText"/>
      </w:pPr>
      <w:r>
        <w:t xml:space="preserve">All data will be visualized in quarterly reports for Lima stakeholders, highlighting how our support advances Peru's national research goals—directly tying service value to the country's scientific development narrative.</w:t>
      </w:r>
    </w:p>
    <w:bookmarkEnd w:id="27"/>
    <w:bookmarkStart w:id="28" w:name="X2a3b4e98bdc97282e0d2119f412190f9e554f36"/>
    <w:p>
      <w:pPr>
        <w:pStyle w:val="Heading2"/>
      </w:pPr>
      <w:r>
        <w:t xml:space="preserve">Conclusion: The Future of Academic Researcher Support in Peru Lima</w:t>
      </w:r>
    </w:p>
    <w:p>
      <w:pPr>
        <w:pStyle w:val="FirstParagraph"/>
      </w:pPr>
      <w:r>
        <w:t xml:space="preserve">This Marketing Plan transforms our organization from a service provider into an indispensable partner for the Academic Researcher community across Peru Lima. By embedding cultural intelligence, institutional trust-building, and hyper-localized solutions into every initiative—from WhatsApp mentorship to Andean-themed workshops—we create sustainable value beyond typical vendor relationships. In a market where 83% of Academic Researchers feel "unseen" by international service providers, we position ourselves as the first choice for Lima's researchers seeking global impact without compromising their local identity. As Peru aims for UNESCO's target of 2% GDP investment in R&amp;D, our plan ensures that every Lima-based Academic Researcher becomes a catalyst for national progress—making this Marketing Plan not merely a strategy, but an investment in Peru's intellectual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Peru Lima</dc:title>
  <dc:creator/>
  <dc:language>en</dc:language>
  <cp:keywords/>
  <dcterms:created xsi:type="dcterms:W3CDTF">2026-07-21T05:53:38Z</dcterms:created>
  <dcterms:modified xsi:type="dcterms:W3CDTF">2026-07-21T05:53:38Z</dcterms:modified>
</cp:coreProperties>
</file>

<file path=docProps/custom.xml><?xml version="1.0" encoding="utf-8"?>
<Properties xmlns="http://schemas.openxmlformats.org/officeDocument/2006/custom-properties" xmlns:vt="http://schemas.openxmlformats.org/officeDocument/2006/docPropsVTypes"/>
</file>