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Moscow</w:t>
      </w:r>
    </w:p>
    <w:bookmarkStart w:id="31" w:name="X3703b2d2855dfa963db69405e164bd16b8b529e"/>
    <w:p>
      <w:pPr>
        <w:pStyle w:val="Heading1"/>
      </w:pPr>
      <w:r>
        <w:t xml:space="preserve">Strategic Marketing Plan for Academic Researcher in Russia Moscow: Driving Impact and Collaboration</w:t>
      </w:r>
    </w:p>
    <w:bookmarkStart w:id="20" w:name="executive-summary"/>
    <w:p>
      <w:pPr>
        <w:pStyle w:val="Heading2"/>
      </w:pPr>
      <w:r>
        <w:t xml:space="preserve">1. Executive Summary</w:t>
      </w:r>
    </w:p>
    <w:p>
      <w:pPr>
        <w:pStyle w:val="FirstParagraph"/>
      </w:pPr>
      <w:r>
        <w:t xml:space="preserve">This comprehensive Marketing Plan outlines a tailored strategy for an Academic Researcher seeking to establish authority, secure funding, and foster collaborations within the competitive research ecosystem of Russia Moscow. As the intellectual capital hub of Russia, Moscow houses 35+ leading universities and 40% of national research institutions. This plan addresses unique market dynamics while positioning the Academic Researcher as a pivotal contributor to Moscow's scientific advancement goals under national initiatives like "Science and Universities" (2019-2024). The core objective is to transform an individual researcher into a recognized thought leader within Russia Moscow's academic landscape through targeted visibility, strategic partnerships, and culturally resonant engagement.</w:t>
      </w:r>
    </w:p>
    <w:bookmarkEnd w:id="20"/>
    <w:bookmarkStart w:id="21" w:name="Xb11f855c987e1bcce3eb187b302d7c174526e4a"/>
    <w:p>
      <w:pPr>
        <w:pStyle w:val="Heading2"/>
      </w:pPr>
      <w:r>
        <w:t xml:space="preserve">2. Market Analysis: Russia Moscow Academic Landscape</w:t>
      </w:r>
    </w:p>
    <w:p>
      <w:pPr>
        <w:pStyle w:val="FirstParagraph"/>
      </w:pPr>
      <w:r>
        <w:t xml:space="preserve">The research environment in Russia Moscow presents distinctive opportunities and challenges. With 41% of Russian R&amp;D spending concentrated in Moscow (Rosstat 2023), the city offers unparalleled access to federal funding, high-impact journals (e.g.,</w:t>
      </w:r>
      <w:r>
        <w:t xml:space="preserve"> </w:t>
      </w:r>
      <w:r>
        <w:rPr>
          <w:iCs/>
          <w:i/>
        </w:rPr>
        <w:t xml:space="preserve">Science Citation Index</w:t>
      </w:r>
      <w:r>
        <w:t xml:space="preserve"> </w:t>
      </w:r>
      <w:r>
        <w:t xml:space="preserve">ranked journals published by Moscow State University), and industry-academia bridges. However, barriers persist: language preferences favoring Russian-language publications despite global demands, bureaucratic grant processes at institutions like Skolkovo Institute of Science and Technology, and cultural nuances in academic networking. Notably, Russia's national priority to boost international research partnerships (aiming for 20% cross-border collaboration by 2030) creates an urgent need for Academic Researchers who understand both Western methodologies and Moscow's institutional protocols.</w:t>
      </w:r>
    </w:p>
    <w:bookmarkEnd w:id="21"/>
    <w:bookmarkStart w:id="22" w:name="target-audience-definition"/>
    <w:p>
      <w:pPr>
        <w:pStyle w:val="Heading2"/>
      </w:pPr>
      <w:r>
        <w:t xml:space="preserve">3. Target Audience Definition</w:t>
      </w:r>
    </w:p>
    <w:p>
      <w:pPr>
        <w:pStyle w:val="FirstParagraph"/>
      </w:pPr>
      <w:r>
        <w:t xml:space="preserve">This Marketing Plan specifically targets three critical segments within Russia Moscow:</w:t>
      </w:r>
    </w:p>
    <w:p>
      <w:pPr>
        <w:numPr>
          <w:ilvl w:val="0"/>
          <w:numId w:val="1001"/>
        </w:numPr>
        <w:pStyle w:val="Compact"/>
      </w:pPr>
      <w:r>
        <w:rPr>
          <w:bCs/>
          <w:b/>
        </w:rPr>
        <w:t xml:space="preserve">Funding Bodies:</w:t>
      </w:r>
      <w:r>
        <w:t xml:space="preserve"> </w:t>
      </w:r>
      <w:r>
        <w:t xml:space="preserve">Rosnauka, Ministry of Science and Higher Education, and Skolkovo Foundation grant committees seeking researchers with proven Moscow collaboration networks.</w:t>
      </w:r>
    </w:p>
    <w:p>
      <w:pPr>
        <w:numPr>
          <w:ilvl w:val="0"/>
          <w:numId w:val="1001"/>
        </w:numPr>
        <w:pStyle w:val="Compact"/>
      </w:pPr>
      <w:r>
        <w:rPr>
          <w:bCs/>
          <w:b/>
        </w:rPr>
        <w:t xml:space="preserve">Institutional Partners:</w:t>
      </w:r>
      <w:r>
        <w:t xml:space="preserve"> </w:t>
      </w:r>
      <w:r>
        <w:t xml:space="preserve">Leading universities (Lomonosov Moscow State University, HSE University) and research centers (Skolkovo, RAS institutes) requiring experts in AI/quantum computing where Moscow leads national efforts.</w:t>
      </w:r>
    </w:p>
    <w:p>
      <w:pPr>
        <w:numPr>
          <w:ilvl w:val="0"/>
          <w:numId w:val="1001"/>
        </w:numPr>
        <w:pStyle w:val="Compact"/>
      </w:pPr>
      <w:r>
        <w:rPr>
          <w:bCs/>
          <w:b/>
        </w:rPr>
        <w:t xml:space="preserve">Industry Collaborators:</w:t>
      </w:r>
      <w:r>
        <w:t xml:space="preserve"> </w:t>
      </w:r>
      <w:r>
        <w:t xml:space="preserve">Tech giants (Yandex, Sberbank Research Institute) and defense contractors seeking academic researchers for applied projects within Moscow's innovation corridors.</w:t>
      </w:r>
    </w:p>
    <w:p>
      <w:pPr>
        <w:pStyle w:val="FirstParagraph"/>
      </w:pPr>
      <w:r>
        <w:t xml:space="preserve">Crucially, the Academic Researcher must demonstrate cultural fluency—understanding that in Russia Moscow, trust-building precedes formal proposals and hierarchical respect is paramount in academic interactions.</w:t>
      </w:r>
    </w:p>
    <w:bookmarkEnd w:id="22"/>
    <w:bookmarkStart w:id="23" w:name="X1c3f2785f76c7bbd7c968b1d54bf393231ad1c0"/>
    <w:p>
      <w:pPr>
        <w:pStyle w:val="Heading2"/>
      </w:pPr>
      <w:r>
        <w:t xml:space="preserve">4. Core Marketing Objectives (Russia Moscow Focus)</w:t>
      </w:r>
    </w:p>
    <w:p>
      <w:pPr>
        <w:pStyle w:val="FirstParagraph"/>
      </w:pPr>
      <w:r>
        <w:t xml:space="preserve">Within 18 months, this Marketing Plan aims to achieve:</w:t>
      </w:r>
    </w:p>
    <w:p>
      <w:pPr>
        <w:numPr>
          <w:ilvl w:val="0"/>
          <w:numId w:val="1002"/>
        </w:numPr>
        <w:pStyle w:val="Compact"/>
      </w:pPr>
      <w:r>
        <w:rPr>
          <w:bCs/>
          <w:b/>
        </w:rPr>
        <w:t xml:space="preserve">Visibility:</w:t>
      </w:r>
      <w:r>
        <w:t xml:space="preserve"> </w:t>
      </w:r>
      <w:r>
        <w:t xml:space="preserve">Secure 5+ speaking engagements at major Moscow academic events (e.g., Moscow International Science Forum) and feature articles in Russian-language journals like</w:t>
      </w:r>
      <w:r>
        <w:t xml:space="preserve"> </w:t>
      </w:r>
      <w:r>
        <w:rPr>
          <w:iCs/>
          <w:i/>
        </w:rPr>
        <w:t xml:space="preserve">Vestnik MGU</w:t>
      </w:r>
      <w:r>
        <w:t xml:space="preserve">.</w:t>
      </w:r>
    </w:p>
    <w:p>
      <w:pPr>
        <w:numPr>
          <w:ilvl w:val="0"/>
          <w:numId w:val="1002"/>
        </w:numPr>
        <w:pStyle w:val="Compact"/>
      </w:pPr>
      <w:r>
        <w:rPr>
          <w:bCs/>
          <w:b/>
        </w:rPr>
        <w:t xml:space="preserve">Credibility:</w:t>
      </w:r>
      <w:r>
        <w:t xml:space="preserve"> </w:t>
      </w:r>
      <w:r>
        <w:t xml:space="preserve">Establish 3 formal research partnerships with leading institutions through Moscow-based grant applications, leveraging national funding schemes.</w:t>
      </w:r>
    </w:p>
    <w:p>
      <w:pPr>
        <w:numPr>
          <w:ilvl w:val="0"/>
          <w:numId w:val="1002"/>
        </w:numPr>
        <w:pStyle w:val="Compact"/>
      </w:pPr>
      <w:r>
        <w:rPr>
          <w:bCs/>
          <w:b/>
        </w:rPr>
        <w:t xml:space="preserve">Network Expansion:</w:t>
      </w:r>
      <w:r>
        <w:t xml:space="preserve"> </w:t>
      </w:r>
      <w:r>
        <w:t xml:space="preserve">Build a curated Moscow academic network of 150+ professionals via LinkedIn (Russian-speaking groups) and in-person events, prioritizing connections with key decision-makers at MIPT and RAS.</w:t>
      </w:r>
    </w:p>
    <w:bookmarkEnd w:id="23"/>
    <w:bookmarkStart w:id="27" w:name="Xab47b66c7d292fe7194ac315b01f8f6dd2ce3ab"/>
    <w:p>
      <w:pPr>
        <w:pStyle w:val="Heading2"/>
      </w:pPr>
      <w:r>
        <w:t xml:space="preserve">5. Tailored Marketing Strategies for Russia Moscow Context</w:t>
      </w:r>
    </w:p>
    <w:bookmarkStart w:id="24" w:name="digital-presence-optimization"/>
    <w:p>
      <w:pPr>
        <w:pStyle w:val="Heading3"/>
      </w:pPr>
      <w:r>
        <w:t xml:space="preserve">5.1 Digital Presence Optimization</w:t>
      </w:r>
    </w:p>
    <w:p>
      <w:pPr>
        <w:pStyle w:val="FirstParagraph"/>
      </w:pPr>
      <w:r>
        <w:t xml:space="preserve">Develop a dual-language (English/Russian) professional platform reflecting Moscow's academic standards. The website will include:</w:t>
      </w:r>
    </w:p>
    <w:p>
      <w:pPr>
        <w:numPr>
          <w:ilvl w:val="0"/>
          <w:numId w:val="1003"/>
        </w:numPr>
        <w:pStyle w:val="Compact"/>
      </w:pPr>
      <w:r>
        <w:t xml:space="preserve">A Russian-language section detailing publications in top Russian journals (</w:t>
      </w:r>
      <w:r>
        <w:rPr>
          <w:iCs/>
          <w:i/>
        </w:rPr>
        <w:t xml:space="preserve">Nauka i Zhizn</w:t>
      </w:r>
      <w:r>
        <w:t xml:space="preserve">,</w:t>
      </w:r>
      <w:r>
        <w:t xml:space="preserve"> </w:t>
      </w:r>
      <w:r>
        <w:rPr>
          <w:iCs/>
          <w:i/>
        </w:rPr>
        <w:t xml:space="preserve">Znanie</w:t>
      </w:r>
      <w:r>
        <w:t xml:space="preserve">) to meet local credibility expectations.</w:t>
      </w:r>
    </w:p>
    <w:p>
      <w:pPr>
        <w:numPr>
          <w:ilvl w:val="0"/>
          <w:numId w:val="1003"/>
        </w:numPr>
        <w:pStyle w:val="Compact"/>
      </w:pPr>
      <w:r>
        <w:t xml:space="preserve">Case studies showcasing successful Moscow-based collaborations (e.g., "AI Partnership with MIPT on Quantum Computing").</w:t>
      </w:r>
    </w:p>
    <w:p>
      <w:pPr>
        <w:numPr>
          <w:ilvl w:val="0"/>
          <w:numId w:val="1003"/>
        </w:numPr>
        <w:pStyle w:val="Compact"/>
      </w:pPr>
      <w:r>
        <w:t xml:space="preserve">Integration with LinkedIn Russia's academic groups like "Moscow Researchers Network" (5,000+ members).</w:t>
      </w:r>
    </w:p>
    <w:bookmarkEnd w:id="24"/>
    <w:bookmarkStart w:id="25" w:name="strategic-networking-in-russia-moscow"/>
    <w:p>
      <w:pPr>
        <w:pStyle w:val="Heading3"/>
      </w:pPr>
      <w:r>
        <w:t xml:space="preserve">5.2 Strategic Networking in Russia Moscow</w:t>
      </w:r>
    </w:p>
    <w:p>
      <w:pPr>
        <w:pStyle w:val="FirstParagraph"/>
      </w:pPr>
      <w:r>
        <w:t xml:space="preserve">Leverage Moscow-specific relationship-building protocols:</w:t>
      </w:r>
    </w:p>
    <w:p>
      <w:pPr>
        <w:numPr>
          <w:ilvl w:val="0"/>
          <w:numId w:val="1004"/>
        </w:numPr>
        <w:pStyle w:val="Compact"/>
      </w:pPr>
      <w:r>
        <w:rPr>
          <w:bCs/>
          <w:b/>
        </w:rPr>
        <w:t xml:space="preserve">Conference Strategy:</w:t>
      </w:r>
      <w:r>
        <w:t xml:space="preserve"> </w:t>
      </w:r>
      <w:r>
        <w:t xml:space="preserve">Target 4+ high-impact Moscow events annually (e.g., "International Scientific Conference on Advanced Technologies" at HSE) with pre-scheduled meetings using the Russian practice of "visiting professors" (</w:t>
      </w:r>
      <w:r>
        <w:rPr>
          <w:iCs/>
          <w:i/>
        </w:rPr>
        <w:t xml:space="preserve">professors po zayavke</w:t>
      </w:r>
      <w:r>
        <w:t xml:space="preserve">). Attend the annual</w:t>
      </w:r>
      <w:r>
        <w:t xml:space="preserve"> </w:t>
      </w:r>
      <w:r>
        <w:rPr>
          <w:iCs/>
          <w:i/>
        </w:rPr>
        <w:t xml:space="preserve">Russian Academy of Sciences</w:t>
      </w:r>
      <w:r>
        <w:t xml:space="preserve"> </w:t>
      </w:r>
      <w:r>
        <w:t xml:space="preserve">reception in Moscow to connect with senior researchers.</w:t>
      </w:r>
    </w:p>
    <w:p>
      <w:pPr>
        <w:numPr>
          <w:ilvl w:val="0"/>
          <w:numId w:val="1004"/>
        </w:numPr>
        <w:pStyle w:val="Compact"/>
      </w:pPr>
      <w:r>
        <w:rPr>
          <w:bCs/>
          <w:b/>
        </w:rPr>
        <w:t xml:space="preserve">Institutional Engagement:</w:t>
      </w:r>
      <w:r>
        <w:t xml:space="preserve"> </w:t>
      </w:r>
      <w:r>
        <w:t xml:space="preserve">Propose joint workshops at Moscow universities, emphasizing alignment with national priorities (e.g., "AI for Energy Security" addressing Russia's 2030 energy strategy).</w:t>
      </w:r>
    </w:p>
    <w:bookmarkEnd w:id="25"/>
    <w:bookmarkStart w:id="26" w:name="content-marketing-with-local-relevance"/>
    <w:p>
      <w:pPr>
        <w:pStyle w:val="Heading3"/>
      </w:pPr>
      <w:r>
        <w:t xml:space="preserve">5.3 Content Marketing with Local Relevance</w:t>
      </w:r>
    </w:p>
    <w:p>
      <w:pPr>
        <w:pStyle w:val="FirstParagraph"/>
      </w:pPr>
      <w:r>
        <w:t xml:space="preserve">Create content resonating with Moscow's academic culture:</w:t>
      </w:r>
    </w:p>
    <w:p>
      <w:pPr>
        <w:numPr>
          <w:ilvl w:val="0"/>
          <w:numId w:val="1005"/>
        </w:numPr>
        <w:pStyle w:val="Compact"/>
      </w:pPr>
      <w:r>
        <w:t xml:space="preserve">Co-author position papers for Moscow-based think tanks (e.g., Institute of World Economy and International Relations) addressing Russia's R&amp;D challenges.</w:t>
      </w:r>
    </w:p>
    <w:p>
      <w:pPr>
        <w:numPr>
          <w:ilvl w:val="0"/>
          <w:numId w:val="1005"/>
        </w:numPr>
        <w:pStyle w:val="Compact"/>
      </w:pPr>
      <w:r>
        <w:t xml:space="preserve">Host monthly "Moscow Research Roundtables" on Zoom (with Russian subtitles) discussing topics like "Navigating Rosnauka Grants" to demonstrate local expertise.</w:t>
      </w:r>
    </w:p>
    <w:p>
      <w:pPr>
        <w:numPr>
          <w:ilvl w:val="0"/>
          <w:numId w:val="1005"/>
        </w:numPr>
        <w:pStyle w:val="Compact"/>
      </w:pPr>
      <w:r>
        <w:t xml:space="preserve">Publish translated excerpts of global papers in Moscow-focused academic blogs (</w:t>
      </w:r>
      <w:r>
        <w:rPr>
          <w:iCs/>
          <w:i/>
        </w:rPr>
        <w:t xml:space="preserve">Academic Moscow</w:t>
      </w:r>
      <w:r>
        <w:t xml:space="preserve">), highlighting applications for Russian contexts.</w:t>
      </w:r>
    </w:p>
    <w:bookmarkEnd w:id="26"/>
    <w:bookmarkEnd w:id="27"/>
    <w:bookmarkStart w:id="28" w:name="X6719c47f337596f7e551f203083853f1e0885b2"/>
    <w:p>
      <w:pPr>
        <w:pStyle w:val="Heading2"/>
      </w:pPr>
      <w:r>
        <w:t xml:space="preserve">6. Budget Allocation: Russia Moscow-Optimized</w:t>
      </w:r>
    </w:p>
    <w:p>
      <w:pPr>
        <w:pStyle w:val="FirstParagraph"/>
      </w:pPr>
      <w:r>
        <w:t xml:space="preserve">A strategic allocation prioritizes high-impact local activities:</w:t>
      </w:r>
    </w:p>
    <w:p>
      <w:pPr>
        <w:pStyle w:val="BodyText"/>
      </w:pPr>
      <w:r>
        <w:t xml:space="preserve">Activity</w:t>
      </w:r>
    </w:p>
    <w:p>
      <w:pPr>
        <w:pStyle w:val="BodyText"/>
      </w:pPr>
      <w:r>
        <w:t xml:space="preserve">Budget Share</w:t>
      </w:r>
    </w:p>
    <w:p>
      <w:pPr>
        <w:pStyle w:val="BodyText"/>
      </w:pPr>
      <w:r>
        <w:t xml:space="preserve">Rationale (Russia Moscow)</w:t>
      </w:r>
    </w:p>
    <w:p>
      <w:pPr>
        <w:pStyle w:val="BodyText"/>
      </w:pPr>
      <w:r>
        <w:t xml:space="preserve">Conference Participation in Moscow</w:t>
      </w:r>
    </w:p>
    <w:p>
      <w:pPr>
        <w:pStyle w:val="BodyText"/>
      </w:pPr>
      <w:r>
        <w:t xml:space="preserve">40%</w:t>
      </w:r>
    </w:p>
    <w:p>
      <w:pPr>
        <w:pStyle w:val="BodyText"/>
      </w:pPr>
      <w:r>
        <w:t xml:space="preserve">Critical for face-to-face networking; 90% of grant decisions occur through personal connections here.</w:t>
      </w:r>
    </w:p>
    <w:p>
      <w:pPr>
        <w:pStyle w:val="BodyText"/>
      </w:pPr>
      <w:r>
        <w:t xml:space="preserve">Dual-Language Digital Platform</w:t>
      </w:r>
    </w:p>
    <w:p>
      <w:pPr>
        <w:pStyle w:val="BodyText"/>
      </w:pPr>
      <w:r>
        <w:t xml:space="preserve">25%</w:t>
      </w:r>
    </w:p>
    <w:p>
      <w:pPr>
        <w:pStyle w:val="BodyText"/>
      </w:pPr>
      <w:r>
        <w:t xml:space="preserve">Total</w:t>
      </w:r>
    </w:p>
    <w:p>
      <w:pPr>
        <w:pStyle w:val="BodyText"/>
      </w:pPr>
      <w:r>
        <w:t xml:space="preserve">100%</w:t>
      </w:r>
    </w:p>
    <w:bookmarkEnd w:id="28"/>
    <w:bookmarkStart w:id="29" w:name="X9aaa3cf6a16fe99e2e58325467014541efe5670"/>
    <w:p>
      <w:pPr>
        <w:pStyle w:val="Heading2"/>
      </w:pPr>
      <w:r>
        <w:t xml:space="preserve">7. Success Metrics &amp; KPIs for Russia Moscow Market</w:t>
      </w:r>
    </w:p>
    <w:p>
      <w:pPr>
        <w:pStyle w:val="FirstParagraph"/>
      </w:pPr>
      <w:r>
        <w:t xml:space="preserve">Evaluation focuses on Moscow-specific outcomes:</w:t>
      </w:r>
    </w:p>
    <w:p>
      <w:pPr>
        <w:numPr>
          <w:ilvl w:val="0"/>
          <w:numId w:val="1006"/>
        </w:numPr>
        <w:pStyle w:val="Compact"/>
      </w:pPr>
      <w:r>
        <w:rPr>
          <w:bCs/>
          <w:b/>
        </w:rPr>
        <w:t xml:space="preserve">Institutional Engagement Rate:</w:t>
      </w:r>
      <w:r>
        <w:t xml:space="preserve"> </w:t>
      </w:r>
      <w:r>
        <w:t xml:space="preserve">% of Moscow university collaborations initiated (Target: 60% within 18 months).</w:t>
      </w:r>
    </w:p>
    <w:p>
      <w:pPr>
        <w:numPr>
          <w:ilvl w:val="0"/>
          <w:numId w:val="1006"/>
        </w:numPr>
        <w:pStyle w:val="Compact"/>
      </w:pPr>
      <w:r>
        <w:rPr>
          <w:bCs/>
          <w:b/>
        </w:rPr>
        <w:t xml:space="preserve">Grant Success Rate:</w:t>
      </w:r>
      <w:r>
        <w:t xml:space="preserve"> </w:t>
      </w:r>
      <w:r>
        <w:t xml:space="preserve">Winning Rosnauka or Skolkovo grants with Moscow-based partners (Target: 2+ awards).</w:t>
      </w:r>
    </w:p>
    <w:p>
      <w:pPr>
        <w:numPr>
          <w:ilvl w:val="0"/>
          <w:numId w:val="1006"/>
        </w:numPr>
        <w:pStyle w:val="Compact"/>
      </w:pPr>
      <w:r>
        <w:rPr>
          <w:bCs/>
          <w:b/>
        </w:rPr>
        <w:t xml:space="preserve">Cultural Integration:</w:t>
      </w:r>
      <w:r>
        <w:t xml:space="preserve"> </w:t>
      </w:r>
      <w:r>
        <w:t xml:space="preserve">Mentions in Russian academic media (</w:t>
      </w:r>
      <w:r>
        <w:rPr>
          <w:iCs/>
          <w:i/>
        </w:rPr>
        <w:t xml:space="preserve">Russian Science Foundation</w:t>
      </w:r>
      <w:r>
        <w:t xml:space="preserve">,</w:t>
      </w:r>
      <w:r>
        <w:t xml:space="preserve"> </w:t>
      </w:r>
      <w:r>
        <w:rPr>
          <w:iCs/>
          <w:i/>
        </w:rPr>
        <w:t xml:space="preserve">Nauka v SSSR</w:t>
      </w:r>
      <w:r>
        <w:t xml:space="preserve">) (Target: 10+ mentions).</w:t>
      </w:r>
    </w:p>
    <w:bookmarkEnd w:id="29"/>
    <w:bookmarkStart w:id="30" w:name="Xcf66e81b3b5d602a46050131a6d133d2ecd30ad"/>
    <w:p>
      <w:pPr>
        <w:pStyle w:val="Heading2"/>
      </w:pPr>
      <w:r>
        <w:t xml:space="preserve">8. Conclusion: Why This Marketing Plan Works for Russia Moscow</w:t>
      </w:r>
    </w:p>
    <w:p>
      <w:pPr>
        <w:pStyle w:val="FirstParagraph"/>
      </w:pPr>
      <w:r>
        <w:t xml:space="preserve">This Marketing Plan transforms the Academic Researcher from a passive participant into an active architect of their Moscow-based research ecosystem. Unlike generic strategies, it acknowledges that success in Russia Moscow demands more than academic excellence—it requires mastering local communication norms, leveraging institutional protocols (e.g., understanding how Skolkovo prioritizes proposals), and aligning with national R&amp;D goals. By embedding the Academic Researcher within Moscow's scientific community through culturally intelligent marketing, this plan ensures sustainable growth where reputation is built through trusted networks rather than isolated publications. As Russia intensifies its focus on becoming a global research leader, this Marketing Plan provides the actionable roadmap for an Academic Researcher to not just participate in Moscow's academic landscape but to shape it—proving that strategic local engagement drives international impact.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Russia Moscow</dc:title>
  <dc:creator/>
  <dc:language>en</dc:language>
  <cp:keywords/>
  <dcterms:created xsi:type="dcterms:W3CDTF">2026-07-23T16:49:14Z</dcterms:created>
  <dcterms:modified xsi:type="dcterms:W3CDTF">2026-07-23T16:49:14Z</dcterms:modified>
</cp:coreProperties>
</file>

<file path=docProps/custom.xml><?xml version="1.0" encoding="utf-8"?>
<Properties xmlns="http://schemas.openxmlformats.org/officeDocument/2006/custom-properties" xmlns:vt="http://schemas.openxmlformats.org/officeDocument/2006/docPropsVTypes"/>
</file>