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b9ebf035b3a31a0c5052c349a8ac7ba4fccb354"/>
    <w:p>
      <w:pPr>
        <w:pStyle w:val="Heading1"/>
      </w:pPr>
      <w:r>
        <w:t xml:space="preserve">Comprehensive Marketing Plan for Academic Researcher Services in Riyadh, Saudi Arabia</w:t>
      </w:r>
    </w:p>
    <w:bookmarkStart w:id="20" w:name="executive-summary"/>
    <w:p>
      <w:pPr>
        <w:pStyle w:val="Heading2"/>
      </w:pPr>
      <w:r>
        <w:t xml:space="preserve">Executive Summary</w:t>
      </w:r>
    </w:p>
    <w:p>
      <w:pPr>
        <w:pStyle w:val="FirstParagraph"/>
      </w:pPr>
      <w:r>
        <w:t xml:space="preserve">This Marketing Plan outlines strategic initiatives to position an elite</w:t>
      </w:r>
      <w:r>
        <w:t xml:space="preserve"> </w:t>
      </w:r>
      <w:r>
        <w:rPr>
          <w:bCs/>
          <w:b/>
        </w:rPr>
        <w:t xml:space="preserve">Academic Researcher</w:t>
      </w:r>
      <w:r>
        <w:t xml:space="preserve"> </w:t>
      </w:r>
      <w:r>
        <w:t xml:space="preserve">as a premier consultancy provider in the rapidly evolving higher education and research landscape of</w:t>
      </w:r>
      <w:r>
        <w:t xml:space="preserve"> </w:t>
      </w:r>
      <w:r>
        <w:rPr>
          <w:bCs/>
          <w:b/>
        </w:rPr>
        <w:t xml:space="preserve">Saudi Arabia Riyadh</w:t>
      </w:r>
      <w:r>
        <w:t xml:space="preserve">. With Vision 2030 driving unprecedented investment in knowledge economy transformation, our plan targets universities, research centers, and government entities seeking to elevate their scholarly output. The strategy leverages Riyadh's status as the Kingdom's academic capital—home to over 75% of Saudi Arabia's research institutions—to establish a dominant market presence within 18 months.</w:t>
      </w:r>
    </w:p>
    <w:bookmarkEnd w:id="20"/>
    <w:bookmarkStart w:id="21" w:name="X2dafc9f1cd0973a739e87225432b89a05c2ec16"/>
    <w:p>
      <w:pPr>
        <w:pStyle w:val="Heading2"/>
      </w:pPr>
      <w:r>
        <w:t xml:space="preserve">Market Analysis: Riyadh’s Research Ecosystem</w:t>
      </w:r>
    </w:p>
    <w:p>
      <w:pPr>
        <w:pStyle w:val="FirstParagraph"/>
      </w:pPr>
      <w:r>
        <w:t xml:space="preserve">Riyadh serves as the epicenter of Saudi Arabia's research ambitions, with government spending on R&amp;D surging to $5.6 billion in 2023 (SAMA). The city hosts King Abdulaziz University, King Saud University, and the King Abdullah University of Science and Technology (KAUST), generating 40% of national academic publications. Key drivers include:</w:t>
      </w:r>
    </w:p>
    <w:p>
      <w:pPr>
        <w:numPr>
          <w:ilvl w:val="0"/>
          <w:numId w:val="1001"/>
        </w:numPr>
        <w:pStyle w:val="Compact"/>
      </w:pPr>
      <w:r>
        <w:rPr>
          <w:bCs/>
          <w:b/>
        </w:rPr>
        <w:t xml:space="preserve">Government Mandates:</w:t>
      </w:r>
      <w:r>
        <w:t xml:space="preserve"> </w:t>
      </w:r>
      <w:r>
        <w:t xml:space="preserve">National Strategy for Scientific Research requires all universities to achieve global ranking in top 100 by 2030.</w:t>
      </w:r>
    </w:p>
    <w:p>
      <w:pPr>
        <w:numPr>
          <w:ilvl w:val="0"/>
          <w:numId w:val="1001"/>
        </w:numPr>
        <w:pStyle w:val="Compact"/>
      </w:pPr>
      <w:r>
        <w:rPr>
          <w:bCs/>
          <w:b/>
        </w:rPr>
        <w:t xml:space="preserve">Funding Surge:</w:t>
      </w:r>
      <w:r>
        <w:t xml:space="preserve"> </w:t>
      </w:r>
      <w:r>
        <w:t xml:space="preserve">$5 billion allocated to research grants through the General Authority for Scientific Research (GASR) annually.</w:t>
      </w:r>
    </w:p>
    <w:p>
      <w:pPr>
        <w:numPr>
          <w:ilvl w:val="0"/>
          <w:numId w:val="1001"/>
        </w:numPr>
        <w:pStyle w:val="Compact"/>
      </w:pPr>
      <w:r>
        <w:rPr>
          <w:bCs/>
          <w:b/>
        </w:rPr>
        <w:t xml:space="preserve">Talent Demand:</w:t>
      </w:r>
      <w:r>
        <w:t xml:space="preserve"> </w:t>
      </w:r>
      <w:r>
        <w:t xml:space="preserve">Saudi Arabia aims to produce 5,000 new PhDs yearly by 2025, creating urgent need for expert research support.</w:t>
      </w:r>
    </w:p>
    <w:p>
      <w:pPr>
        <w:pStyle w:val="FirstParagraph"/>
      </w:pPr>
      <w:r>
        <w:t xml:space="preserve">This context makes Riyadh the ideal launchpad for a specialized</w:t>
      </w:r>
      <w:r>
        <w:t xml:space="preserve"> </w:t>
      </w:r>
      <w:r>
        <w:rPr>
          <w:bCs/>
          <w:b/>
        </w:rPr>
        <w:t xml:space="preserve">Academic Researcher</w:t>
      </w:r>
      <w:r>
        <w:t xml:space="preserve"> </w:t>
      </w:r>
      <w:r>
        <w:t xml:space="preserve">service provider targeting institutional capacity gaps in grant writing, data analysis, and publication strategy.</w:t>
      </w:r>
    </w:p>
    <w:bookmarkEnd w:id="21"/>
    <w:bookmarkStart w:id="22" w:name="target-audience"/>
    <w:p>
      <w:pPr>
        <w:pStyle w:val="Heading2"/>
      </w:pPr>
      <w:r>
        <w:t xml:space="preserve">Target Audience</w:t>
      </w:r>
    </w:p>
    <w:p>
      <w:pPr>
        <w:pStyle w:val="FirstParagraph"/>
      </w:pPr>
      <w:r>
        <w:t xml:space="preserve">We prioritize three high-value segments within Riyadh's academic ecosystem:</w:t>
      </w:r>
    </w:p>
    <w:p>
      <w:pPr>
        <w:numPr>
          <w:ilvl w:val="0"/>
          <w:numId w:val="1002"/>
        </w:numPr>
        <w:pStyle w:val="Compact"/>
      </w:pPr>
      <w:r>
        <w:rPr>
          <w:bCs/>
          <w:b/>
        </w:rPr>
        <w:t xml:space="preserve">Institutional Leadership:</w:t>
      </w:r>
      <w:r>
        <w:t xml:space="preserve"> </w:t>
      </w:r>
      <w:r>
        <w:t xml:space="preserve">Deans and Research Directors at universities requiring strategic research planning to meet Vision 2030 targets.</w:t>
      </w:r>
    </w:p>
    <w:p>
      <w:pPr>
        <w:numPr>
          <w:ilvl w:val="0"/>
          <w:numId w:val="1002"/>
        </w:numPr>
        <w:pStyle w:val="Compact"/>
      </w:pPr>
      <w:r>
        <w:rPr>
          <w:bCs/>
          <w:b/>
        </w:rPr>
        <w:t xml:space="preserve">Faculty Researchers:</w:t>
      </w:r>
      <w:r>
        <w:t xml:space="preserve"> </w:t>
      </w:r>
      <w:r>
        <w:t xml:space="preserve">Early-career academics lacking publication experience in Q1 journals (45% of Saudi faculty struggle with this).</w:t>
      </w:r>
    </w:p>
    <w:p>
      <w:pPr>
        <w:numPr>
          <w:ilvl w:val="0"/>
          <w:numId w:val="1002"/>
        </w:numPr>
        <w:pStyle w:val="Compact"/>
      </w:pPr>
      <w:r>
        <w:rPr>
          <w:bCs/>
          <w:b/>
        </w:rPr>
        <w:t xml:space="preserve">Government Entities:</w:t>
      </w:r>
      <w:r>
        <w:t xml:space="preserve"> </w:t>
      </w:r>
      <w:r>
        <w:t xml:space="preserve">Ministry of Education and GASR officials commissioning large-scale research projects.</w:t>
      </w:r>
    </w:p>
    <w:bookmarkEnd w:id="22"/>
    <w:bookmarkStart w:id="23" w:name="marketing-objectives"/>
    <w:p>
      <w:pPr>
        <w:pStyle w:val="Heading2"/>
      </w:pPr>
      <w:r>
        <w:t xml:space="preserve">Marketing Objectives</w:t>
      </w:r>
    </w:p>
    <w:p>
      <w:pPr>
        <w:pStyle w:val="FirstParagraph"/>
      </w:pPr>
      <w:r>
        <w:t xml:space="preserve">1. Achieve 30% market share among premium academic research service providers in Riyadh within 18 months.</w:t>
      </w:r>
      <w:r>
        <w:br/>
      </w:r>
      <w:r>
        <w:t xml:space="preserve">2. Secure partnerships with 5+ top universities and government bodies by Year 1.</w:t>
      </w:r>
      <w:r>
        <w:br/>
      </w:r>
      <w:r>
        <w:t xml:space="preserve">3. Generate $1.2M in service revenue by Q4 of Year 2, with a minimum 70% client retention rate.</w:t>
      </w:r>
      <w:r>
        <w:br/>
      </w:r>
      <w:r>
        <w:rPr>
          <w:iCs/>
          <w:i/>
        </w:rPr>
        <w:t xml:space="preserve">All objectives directly align with Saudi Arabia Riyadh's strategic priorities for knowledge economy development.</w:t>
      </w:r>
    </w:p>
    <w:bookmarkEnd w:id="23"/>
    <w:bookmarkStart w:id="27" w:name="marketing-strategies-tactics"/>
    <w:p>
      <w:pPr>
        <w:pStyle w:val="Heading2"/>
      </w:pPr>
      <w:r>
        <w:t xml:space="preserve">Marketing Strategies &amp; Tactics</w:t>
      </w:r>
    </w:p>
    <w:bookmarkStart w:id="24" w:name="value-proposition-development"/>
    <w:p>
      <w:pPr>
        <w:pStyle w:val="Heading3"/>
      </w:pPr>
      <w:r>
        <w:t xml:space="preserve">1. Value Proposition Development</w:t>
      </w:r>
    </w:p>
    <w:p>
      <w:pPr>
        <w:pStyle w:val="FirstParagraph"/>
      </w:pPr>
      <w:r>
        <w:t xml:space="preserve">Position the</w:t>
      </w:r>
      <w:r>
        <w:t xml:space="preserve"> </w:t>
      </w:r>
      <w:r>
        <w:rPr>
          <w:bCs/>
          <w:b/>
        </w:rPr>
        <w:t xml:space="preserve">Academic Researcher</w:t>
      </w:r>
      <w:r>
        <w:t xml:space="preserve"> </w:t>
      </w:r>
      <w:r>
        <w:t xml:space="preserve">as a "Vision 2030 Research Catalyst" – emphasizing:</w:t>
      </w:r>
    </w:p>
    <w:p>
      <w:pPr>
        <w:numPr>
          <w:ilvl w:val="0"/>
          <w:numId w:val="1003"/>
        </w:numPr>
        <w:pStyle w:val="Compact"/>
      </w:pPr>
      <w:r>
        <w:t xml:space="preserve">Cultural fluency: Arabic-English bilingual research support aligned with Saudi academic standards.</w:t>
      </w:r>
    </w:p>
    <w:p>
      <w:pPr>
        <w:numPr>
          <w:ilvl w:val="0"/>
          <w:numId w:val="1003"/>
        </w:numPr>
        <w:pStyle w:val="Compact"/>
      </w:pPr>
      <w:r>
        <w:t xml:space="preserve">Vision 2030 integration: Services designed to accelerate institutional compliance with national research goals.</w:t>
      </w:r>
    </w:p>
    <w:p>
      <w:pPr>
        <w:numPr>
          <w:ilvl w:val="0"/>
          <w:numId w:val="1003"/>
        </w:numPr>
        <w:pStyle w:val="Compact"/>
      </w:pPr>
      <w:r>
        <w:t xml:space="preserve">Proven outcomes: Case studies showing 65% average increase in successful grant applications for past clients.</w:t>
      </w:r>
    </w:p>
    <w:bookmarkEnd w:id="24"/>
    <w:bookmarkStart w:id="25" w:name="channel-strategy-for-riyadh-market"/>
    <w:p>
      <w:pPr>
        <w:pStyle w:val="Heading3"/>
      </w:pPr>
      <w:r>
        <w:t xml:space="preserve">2. Channel Strategy for Riyadh Market</w:t>
      </w:r>
    </w:p>
    <w:p>
      <w:pPr>
        <w:pStyle w:val="FirstParagraph"/>
      </w:pPr>
      <w:r>
        <w:rPr>
          <w:bCs/>
          <w:b/>
        </w:rPr>
        <w:t xml:space="preserve">Tactical Implementation:</w:t>
      </w:r>
    </w:p>
    <w:p>
      <w:pPr>
        <w:numPr>
          <w:ilvl w:val="0"/>
          <w:numId w:val="1004"/>
        </w:numPr>
        <w:pStyle w:val="Compact"/>
      </w:pPr>
      <w:r>
        <w:rPr>
          <w:iCs/>
          <w:i/>
        </w:rPr>
        <w:t xml:space="preserve">Government Engagement:</w:t>
      </w:r>
      <w:r>
        <w:t xml:space="preserve"> </w:t>
      </w:r>
      <w:r>
        <w:t xml:space="preserve">Partner with GASR to co-host "Research Excellence Workshops" at Riyadh conference centers (e.g., King Abdulaziz International Conference Center), targeting decision-makers.</w:t>
      </w:r>
    </w:p>
    <w:p>
      <w:pPr>
        <w:numPr>
          <w:ilvl w:val="0"/>
          <w:numId w:val="1004"/>
        </w:numPr>
        <w:pStyle w:val="Compact"/>
      </w:pPr>
      <w:r>
        <w:rPr>
          <w:iCs/>
          <w:i/>
        </w:rPr>
        <w:t xml:space="preserve">Institutional Partnerships:</w:t>
      </w:r>
      <w:r>
        <w:t xml:space="preserve"> </w:t>
      </w:r>
      <w:r>
        <w:t xml:space="preserve">Offer free research gap analysis audits to top 10 Riyadh universities as a lead-generation tool.</w:t>
      </w:r>
    </w:p>
    <w:p>
      <w:pPr>
        <w:numPr>
          <w:ilvl w:val="0"/>
          <w:numId w:val="1004"/>
        </w:numPr>
        <w:pStyle w:val="Compact"/>
      </w:pPr>
      <w:r>
        <w:rPr>
          <w:iCs/>
          <w:i/>
        </w:rPr>
        <w:t xml:space="preserve">Digital Presence:</w:t>
      </w:r>
      <w:r>
        <w:t xml:space="preserve"> </w:t>
      </w:r>
      <w:r>
        <w:t xml:space="preserve">Develop Arabic-English LinkedIn campaigns highlighting Saudi success stories (e.g., "How Dr. Al-Saud Achieved 3 Q1 Publications in 6 Months").</w:t>
      </w:r>
    </w:p>
    <w:p>
      <w:pPr>
        <w:numPr>
          <w:ilvl w:val="0"/>
          <w:numId w:val="1004"/>
        </w:numPr>
        <w:pStyle w:val="Compact"/>
      </w:pPr>
      <w:r>
        <w:rPr>
          <w:iCs/>
          <w:i/>
        </w:rPr>
        <w:t xml:space="preserve">Local Events:</w:t>
      </w:r>
      <w:r>
        <w:t xml:space="preserve"> </w:t>
      </w:r>
      <w:r>
        <w:t xml:space="preserve">Sponsor KAUST's annual Research Symposium and Riyadh International Academic Conference.</w:t>
      </w:r>
    </w:p>
    <w:bookmarkEnd w:id="25"/>
    <w:bookmarkStart w:id="26" w:name="differentiation-framework"/>
    <w:p>
      <w:pPr>
        <w:pStyle w:val="Heading3"/>
      </w:pPr>
      <w:r>
        <w:t xml:space="preserve">3. Differentiation Framework</w:t>
      </w:r>
    </w:p>
    <w:p>
      <w:pPr>
        <w:pStyle w:val="FirstParagraph"/>
      </w:pPr>
      <w:r>
        <w:t xml:space="preserve">We outperform competitors through:</w:t>
      </w:r>
    </w:p>
    <w:p>
      <w:pPr>
        <w:numPr>
          <w:ilvl w:val="0"/>
          <w:numId w:val="1005"/>
        </w:numPr>
        <w:pStyle w:val="Compact"/>
      </w:pPr>
      <w:r>
        <w:rPr>
          <w:bCs/>
          <w:b/>
        </w:rPr>
        <w:t xml:space="preserve">Cultural Intelligence:</w:t>
      </w:r>
      <w:r>
        <w:t xml:space="preserve"> </w:t>
      </w:r>
      <w:r>
        <w:t xml:space="preserve">All researchers trained in Saudi academic protocols (e.g., faculty hierarchy, ethical review processes).</w:t>
      </w:r>
    </w:p>
    <w:p>
      <w:pPr>
        <w:numPr>
          <w:ilvl w:val="0"/>
          <w:numId w:val="1005"/>
        </w:numPr>
        <w:pStyle w:val="Compact"/>
      </w:pPr>
      <w:r>
        <w:rPr>
          <w:bCs/>
          <w:b/>
        </w:rPr>
        <w:t xml:space="preserve">Technology Integration:</w:t>
      </w:r>
      <w:r>
        <w:t xml:space="preserve"> </w:t>
      </w:r>
      <w:r>
        <w:t xml:space="preserve">AI-powered research trend analysis tools customized for Saudi disciplines (healthcare, energy, AI).</w:t>
      </w:r>
    </w:p>
    <w:p>
      <w:pPr>
        <w:numPr>
          <w:ilvl w:val="0"/>
          <w:numId w:val="1005"/>
        </w:numPr>
        <w:pStyle w:val="Compact"/>
      </w:pPr>
      <w:r>
        <w:rPr>
          <w:bCs/>
          <w:b/>
        </w:rPr>
        <w:t xml:space="preserve">Sustainability Focus:</w:t>
      </w:r>
      <w:r>
        <w:t xml:space="preserve"> </w:t>
      </w:r>
      <w:r>
        <w:t xml:space="preserve">Services explicitly tied to Vision 2030 pillars (e.g., "Sustainable Research in Renewable Energy" programs).</w:t>
      </w:r>
    </w:p>
    <w:bookmarkEnd w:id="26"/>
    <w:bookmarkEnd w:id="27"/>
    <w:bookmarkStart w:id="28" w:name="budget-allocation"/>
    <w:p>
      <w:pPr>
        <w:pStyle w:val="Heading2"/>
      </w:pPr>
      <w:r>
        <w:t xml:space="preserve">Budget Allocation</w:t>
      </w:r>
    </w:p>
    <w:p>
      <w:pPr>
        <w:pStyle w:val="FirstParagraph"/>
      </w:pPr>
      <w:r>
        <w:t xml:space="preserve">Total Year 1 Budget: $485,000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Government Engagement Events (Riyadh)</w:t>
            </w:r>
          </w:p>
        </w:tc>
        <w:tc>
          <w:tcPr/>
          <w:p>
            <w:pPr>
              <w:pStyle w:val="Compact"/>
              <w:jc w:val="left"/>
            </w:pPr>
            <w:r>
              <w:t xml:space="preserve">$120,000</w:t>
            </w:r>
          </w:p>
        </w:tc>
        <w:tc>
          <w:tcPr/>
          <w:p>
            <w:pPr>
              <w:pStyle w:val="Compact"/>
              <w:jc w:val="left"/>
            </w:pPr>
            <w:r>
              <w:t xml:space="preserve">Critical for high-level access in Saudi Arabia Riyadh's decision-making environment.</w:t>
            </w:r>
          </w:p>
        </w:tc>
      </w:tr>
      <w:tr>
        <w:tc>
          <w:tcPr/>
          <w:p>
            <w:pPr>
              <w:pStyle w:val="Compact"/>
              <w:jc w:val="left"/>
            </w:pPr>
            <w:r>
              <w:t xml:space="preserve">Digital Marketing (Arabic/English)</w:t>
            </w:r>
          </w:p>
        </w:tc>
        <w:tc>
          <w:tcPr/>
          <w:p>
            <w:pPr>
              <w:pStyle w:val="Compact"/>
              <w:jc w:val="left"/>
            </w:pPr>
            <w:r>
              <w:t xml:space="preserve">$95,000</w:t>
            </w:r>
          </w:p>
        </w:tc>
        <w:tc>
          <w:tcPr/>
          <w:p>
            <w:pPr>
              <w:pStyle w:val="Compact"/>
              <w:jc w:val="left"/>
            </w:pPr>
            <w:r>
              <w:t xml:space="preserve">Targeted LinkedIn/Google Ads to reach faculty in Riyadh universities.</w:t>
            </w:r>
          </w:p>
        </w:tc>
      </w:tr>
      <w:tr>
        <w:tc>
          <w:tcPr/>
          <w:p>
            <w:pPr>
              <w:pStyle w:val="Compact"/>
              <w:jc w:val="left"/>
            </w:pPr>
            <w:r>
              <w:t xml:space="preserve">Institutional Partnership Initiatives</w:t>
            </w:r>
          </w:p>
        </w:tc>
        <w:tc>
          <w:tcPr/>
          <w:p>
            <w:pPr>
              <w:pStyle w:val="Compact"/>
              <w:jc w:val="left"/>
            </w:pPr>
            <w:r>
              <w:t xml:space="preserve">$110,000</w:t>
            </w:r>
          </w:p>
        </w:tc>
        <w:tc>
          <w:tcPr/>
          <w:p>
            <w:pPr>
              <w:pStyle w:val="Compact"/>
              <w:jc w:val="left"/>
            </w:pPr>
            <w:r>
              <w:t xml:space="preserve">Free audit programs to secure pilot clients at leading Riyadh institutions.</w:t>
            </w:r>
          </w:p>
        </w:tc>
      </w:tr>
      <w:tr>
        <w:tc>
          <w:tcPr/>
          <w:p>
            <w:pPr>
              <w:pStyle w:val="Compact"/>
              <w:jc w:val="left"/>
            </w:pPr>
            <w:r>
              <w:t xml:space="preserve">Content Development (Local Case Studies)</w:t>
            </w:r>
          </w:p>
        </w:tc>
        <w:tc>
          <w:tcPr/>
          <w:p>
            <w:pPr>
              <w:pStyle w:val="Compact"/>
              <w:jc w:val="left"/>
            </w:pPr>
            <w:r>
              <w:t xml:space="preserve">$85,000</w:t>
            </w:r>
          </w:p>
        </w:tc>
        <w:tc>
          <w:tcPr/>
          <w:p>
            <w:pPr>
              <w:pStyle w:val="Compact"/>
              <w:jc w:val="left"/>
            </w:pPr>
            <w:r>
              <w:t xml:space="preserve">Cultural-relevant content showcasing Saudi academic success.</w:t>
            </w:r>
          </w:p>
        </w:tc>
      </w:tr>
      <w:tr>
        <w:tc>
          <w:tcPr/>
          <w:p>
            <w:pPr>
              <w:pStyle w:val="Compact"/>
              <w:jc w:val="left"/>
            </w:pPr>
            <w:r>
              <w:t xml:space="preserve">Talent Acquisition (Riyadh-based Researchers)</w:t>
            </w:r>
          </w:p>
        </w:tc>
        <w:tc>
          <w:tcPr/>
          <w:p>
            <w:pPr>
              <w:pStyle w:val="Compact"/>
              <w:jc w:val="left"/>
            </w:pPr>
            <w:r>
              <w:t xml:space="preserve">$75,000</w:t>
            </w:r>
          </w:p>
        </w:tc>
        <w:tc>
          <w:tcPr/>
          <w:p>
            <w:pPr>
              <w:pStyle w:val="Compact"/>
              <w:jc w:val="left"/>
            </w:pPr>
            <w:r>
              <w:t xml:space="preserve">Crucial for on-ground execution in Saudi Arabia Riyadh context.</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Riyadh office; secure 2 university pilot partnerships.</w:t>
      </w:r>
      <w:r>
        <w:br/>
      </w:r>
      <w:r>
        <w:rPr>
          <w:bCs/>
          <w:b/>
        </w:rPr>
        <w:t xml:space="preserve">Months 4-6:</w:t>
      </w:r>
      <w:r>
        <w:t xml:space="preserve"> </w:t>
      </w:r>
      <w:r>
        <w:t xml:space="preserve">Launch GASR workshop series; deploy digital campaigns.</w:t>
      </w:r>
      <w:r>
        <w:br/>
      </w:r>
      <w:r>
        <w:rPr>
          <w:bCs/>
          <w:b/>
        </w:rPr>
        <w:t xml:space="preserve">Months 7-9:</w:t>
      </w:r>
      <w:r>
        <w:t xml:space="preserve"> </w:t>
      </w:r>
      <w:r>
        <w:t xml:space="preserve">Achieve first government contract (e.g., Ministry of Education research framework agreement).</w:t>
      </w:r>
      <w:r>
        <w:br/>
      </w:r>
      <w:r>
        <w:rPr>
          <w:bCs/>
          <w:b/>
        </w:rPr>
        <w:t xml:space="preserve">Months 10-12:</w:t>
      </w:r>
      <w:r>
        <w:t xml:space="preserve"> </w:t>
      </w:r>
      <w:r>
        <w:t xml:space="preserve">Scale to 5 institutional contracts; refine service offerings based on Riyadh market feedback.</w:t>
      </w:r>
      <w:r>
        <w:br/>
      </w:r>
    </w:p>
    <w:bookmarkEnd w:id="29"/>
    <w:bookmarkStart w:id="30" w:name="evaluation-metrics"/>
    <w:p>
      <w:pPr>
        <w:pStyle w:val="Heading2"/>
      </w:pPr>
      <w:r>
        <w:t xml:space="preserve">Evaluation Metrics</w:t>
      </w:r>
    </w:p>
    <w:p>
      <w:pPr>
        <w:pStyle w:val="FirstParagraph"/>
      </w:pPr>
      <w:r>
        <w:t xml:space="preserve">We measure success through Saudi Arabia Riyadh-specific KPIs:</w:t>
      </w:r>
    </w:p>
    <w:p>
      <w:pPr>
        <w:numPr>
          <w:ilvl w:val="0"/>
          <w:numId w:val="1006"/>
        </w:numPr>
        <w:pStyle w:val="Compact"/>
      </w:pPr>
      <w:r>
        <w:rPr>
          <w:iCs/>
          <w:i/>
        </w:rPr>
        <w:t xml:space="preserve">Market Penetration:</w:t>
      </w:r>
      <w:r>
        <w:t xml:space="preserve"> </w:t>
      </w:r>
      <w:r>
        <w:t xml:space="preserve">% of target universities using our services (Target: 40% by Year 2).</w:t>
      </w:r>
    </w:p>
    <w:p>
      <w:pPr>
        <w:numPr>
          <w:ilvl w:val="0"/>
          <w:numId w:val="1006"/>
        </w:numPr>
        <w:pStyle w:val="Compact"/>
      </w:pPr>
      <w:r>
        <w:rPr>
          <w:iCs/>
          <w:i/>
        </w:rPr>
        <w:t xml:space="preserve">Vision 2030 Alignment:</w:t>
      </w:r>
      <w:r>
        <w:t xml:space="preserve"> </w:t>
      </w:r>
      <w:r>
        <w:t xml:space="preserve">Number of projects directly contributing to national research goals (e.g., publications in Saudi Priority Sectors).</w:t>
      </w:r>
    </w:p>
    <w:p>
      <w:pPr>
        <w:numPr>
          <w:ilvl w:val="0"/>
          <w:numId w:val="1006"/>
        </w:numPr>
        <w:pStyle w:val="Compact"/>
      </w:pPr>
      <w:r>
        <w:rPr>
          <w:iCs/>
          <w:i/>
        </w:rPr>
        <w:t xml:space="preserve">Client Satisfaction:</w:t>
      </w:r>
      <w:r>
        <w:t xml:space="preserve"> </w:t>
      </w:r>
      <w:r>
        <w:t xml:space="preserve">Net Promoter Score (NPS) from Riyadh institutions (Target: ≥85).</w:t>
      </w:r>
    </w:p>
    <w:p>
      <w:pPr>
        <w:numPr>
          <w:ilvl w:val="0"/>
          <w:numId w:val="1006"/>
        </w:numPr>
        <w:pStyle w:val="Compact"/>
      </w:pPr>
      <w:r>
        <w:rPr>
          <w:iCs/>
          <w:i/>
        </w:rPr>
        <w:t xml:space="preserve">Economic Impact:</w:t>
      </w:r>
      <w:r>
        <w:t xml:space="preserve"> </w:t>
      </w:r>
      <w:r>
        <w:t xml:space="preserve">Value of research grants secured through our support ($1.2M Year 2 target).</w:t>
      </w:r>
    </w:p>
    <w:bookmarkEnd w:id="30"/>
    <w:bookmarkStart w:id="31" w:name="conclusion"/>
    <w:p>
      <w:pPr>
        <w:pStyle w:val="Heading2"/>
      </w:pPr>
      <w:r>
        <w:t xml:space="preserve">Conclusion</w:t>
      </w:r>
    </w:p>
    <w:p>
      <w:pPr>
        <w:pStyle w:val="FirstParagraph"/>
      </w:pPr>
      <w:r>
        <w:t xml:space="preserve">This Marketing Plan positions the</w:t>
      </w:r>
      <w:r>
        <w:t xml:space="preserve"> </w:t>
      </w:r>
      <w:r>
        <w:rPr>
          <w:bCs/>
          <w:b/>
        </w:rPr>
        <w:t xml:space="preserve">Academic Researcher</w:t>
      </w:r>
      <w:r>
        <w:t xml:space="preserve"> </w:t>
      </w:r>
      <w:r>
        <w:t xml:space="preserve">as indispensable to Saudi Arabia Riyadh's knowledge economy transformation. By embedding cultural intelligence, Vision 2030 alignment, and Riyadh-centric execution into every service offering, we will capture market leadership while driving measurable national impact. The plan’s success directly contributes to Saudi Arabia's ambition of becoming a global research leader by 2030—proving that strategic marketing for academic excellence can accelerate national development.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Riyadh, Saudi Arabia</dc:title>
  <dc:creator/>
  <dc:language>en</dc:language>
  <cp:keywords/>
  <dcterms:created xsi:type="dcterms:W3CDTF">2026-07-21T05:50:26Z</dcterms:created>
  <dcterms:modified xsi:type="dcterms:W3CDTF">2026-07-21T05:50:26Z</dcterms:modified>
</cp:coreProperties>
</file>

<file path=docProps/custom.xml><?xml version="1.0" encoding="utf-8"?>
<Properties xmlns="http://schemas.openxmlformats.org/officeDocument/2006/custom-properties" xmlns:vt="http://schemas.openxmlformats.org/officeDocument/2006/docPropsVTypes"/>
</file>