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Academic</w:t>
      </w:r>
      <w:r>
        <w:t xml:space="preserve"> </w:t>
      </w:r>
      <w:r>
        <w:t xml:space="preserve">Researcher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Singapore</w:t>
      </w:r>
      <w:r>
        <w:t xml:space="preserve"> </w:t>
      </w:r>
      <w:r>
        <w:t xml:space="preserve">Singapore</w:t>
      </w:r>
    </w:p>
    <w:bookmarkStart w:id="33" w:name="Xc2d22160e18e8c2179668f42eed1762055eaa75"/>
    <w:p>
      <w:pPr>
        <w:pStyle w:val="Heading1"/>
      </w:pPr>
      <w:r>
        <w:t xml:space="preserve">Comprehensive Marketing Plan for Academic Researcher Services in Singapore Singapore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roadmap to position our premium academic research management platform as the indispensable tool for every Academic Researcher operating within Singapore Singapore. As the Southeast Asian hub for cutting-edge innovation, Singapore's research ecosystem demands tailored solutions that navigate local funding structures, institutional protocols, and multicultural collaboration frameworks. This plan details how we will capture 35% market share among Academic Researchers in Singapore within 24 months through hyper-localized engagement strategies.</w:t>
      </w:r>
    </w:p>
    <w:bookmarkEnd w:id="20"/>
    <w:bookmarkStart w:id="21" w:name="X42ee47c7f0c8e5a0e2673c0032892faa2269ebb"/>
    <w:p>
      <w:pPr>
        <w:pStyle w:val="Heading2"/>
      </w:pPr>
      <w:r>
        <w:t xml:space="preserve">Market Analysis: Singapore's Academic Research Landscape</w:t>
      </w:r>
    </w:p>
    <w:p>
      <w:pPr>
        <w:pStyle w:val="FirstParagraph"/>
      </w:pPr>
      <w:r>
        <w:t xml:space="preserve">Singapore Singapore boasts one of Asia's most sophisticated research environments, with $11.3 billion invested in R&amp;D (2023) and 6 national research institutes driving breakthroughs in biotechnology, AI, and sustainable engineering. However, Academic Researchers face systemic challenges: fragmented grant management systems across 7 public universities (NUS, NTU etc.), bureaucratic compliance hurdles under the Ministry of Health's Clinical Research Ethics Committee (CREC), and limited cross-institutional collaboration tools. A 2023 NUS survey revealed 78% of Academic Researchers waste over 15 hours monthly on administrative tasks – a critical gap our solution addresses.</w:t>
      </w:r>
    </w:p>
    <w:bookmarkEnd w:id="21"/>
    <w:bookmarkStart w:id="22" w:name="Xfa5a614279945e0fc53898c145d07d817f00208"/>
    <w:p>
      <w:pPr>
        <w:pStyle w:val="Heading2"/>
      </w:pPr>
      <w:r>
        <w:t xml:space="preserve">Target Audience: The Singapore-Specific Academic Researcher</w:t>
      </w:r>
    </w:p>
    <w:p>
      <w:pPr>
        <w:pStyle w:val="FirstParagraph"/>
      </w:pPr>
      <w:r>
        <w:t xml:space="preserve">Our core audience comprises mid-career to senior Academic Researchers at Singapore institutions conducting applied research with commercial potential. This segment prioritizes:</w:t>
      </w:r>
    </w:p>
    <w:p>
      <w:pPr>
        <w:numPr>
          <w:ilvl w:val="0"/>
          <w:numId w:val="1001"/>
        </w:numPr>
        <w:pStyle w:val="Compact"/>
      </w:pPr>
      <w:r>
        <w:t xml:space="preserve">Compliance with Singapore’s Agency for Science, Technology and Research (A*STAR) mandates</w:t>
      </w:r>
    </w:p>
    <w:p>
      <w:pPr>
        <w:numPr>
          <w:ilvl w:val="0"/>
          <w:numId w:val="1001"/>
        </w:numPr>
        <w:pStyle w:val="Compact"/>
      </w:pPr>
      <w:r>
        <w:t xml:space="preserve">Seamless integration with SingHealth's clinical trial databases</w:t>
      </w:r>
    </w:p>
    <w:p>
      <w:pPr>
        <w:numPr>
          <w:ilvl w:val="0"/>
          <w:numId w:val="1001"/>
        </w:numPr>
        <w:pStyle w:val="Compact"/>
      </w:pPr>
      <w:r>
        <w:t xml:space="preserve">Cross-border collaboration tools for ASEAN research partnerships</w:t>
      </w:r>
    </w:p>
    <w:p>
      <w:pPr>
        <w:pStyle w:val="FirstParagraph"/>
      </w:pPr>
      <w:r>
        <w:t xml:space="preserve">Unlike generic platforms, our Marketing Plan recognizes that an Academic Researcher in Singapore Singapore operates within a unique ecosystem where local regulatory nuance (e.g., PDPA compliance for data handling) is as critical as technical functionality. This requires culturally attuned marketing, not just translated content.</w:t>
      </w:r>
    </w:p>
    <w:bookmarkEnd w:id="22"/>
    <w:bookmarkStart w:id="23" w:name="marketing-objectives"/>
    <w:p>
      <w:pPr>
        <w:pStyle w:val="Heading2"/>
      </w:pPr>
      <w:r>
        <w:t xml:space="preserve">Marketing Objectives</w:t>
      </w:r>
    </w:p>
    <w:p>
      <w:pPr>
        <w:pStyle w:val="FirstParagraph"/>
      </w:pPr>
      <w:r>
        <w:t xml:space="preserve">Within 24 months, this Marketing Plan targets:</w:t>
      </w:r>
    </w:p>
    <w:p>
      <w:pPr>
        <w:numPr>
          <w:ilvl w:val="0"/>
          <w:numId w:val="1002"/>
        </w:numPr>
        <w:pStyle w:val="Compact"/>
      </w:pPr>
      <w:r>
        <w:t xml:space="preserve">Achieve 500 paying Academic Researcher users across Singapore institutions (35% market penetration)</w:t>
      </w:r>
    </w:p>
    <w:p>
      <w:pPr>
        <w:numPr>
          <w:ilvl w:val="0"/>
          <w:numId w:val="1002"/>
        </w:numPr>
        <w:pStyle w:val="Compact"/>
      </w:pPr>
      <w:r>
        <w:t xml:space="preserve">Secure partnerships with 3 National Research Institutes for embedded platform deployment</w:t>
      </w:r>
    </w:p>
    <w:p>
      <w:pPr>
        <w:numPr>
          <w:ilvl w:val="0"/>
          <w:numId w:val="1002"/>
        </w:numPr>
        <w:pStyle w:val="Compact"/>
      </w:pPr>
      <w:r>
        <w:t xml:space="preserve">Attain 85% brand recall among Academic Researchers in Singapore through targeted channels</w:t>
      </w:r>
    </w:p>
    <w:bookmarkEnd w:id="23"/>
    <w:bookmarkStart w:id="27" w:name="strategic-marketing-framework"/>
    <w:p>
      <w:pPr>
        <w:pStyle w:val="Heading2"/>
      </w:pPr>
      <w:r>
        <w:t xml:space="preserve">Strategic Marketing Framework</w:t>
      </w:r>
    </w:p>
    <w:bookmarkStart w:id="24" w:name="X2f84a1a33527fde0b49833ac3110248f5a215f2"/>
    <w:p>
      <w:pPr>
        <w:pStyle w:val="Heading3"/>
      </w:pPr>
      <w:r>
        <w:t xml:space="preserve">1. Hyper-Localized Digital Campaigns (Singapore Focus)</w:t>
      </w:r>
    </w:p>
    <w:p>
      <w:pPr>
        <w:pStyle w:val="FirstParagraph"/>
      </w:pPr>
      <w:r>
        <w:t xml:space="preserve">We deploy geo-targeted digital assets exclusively for Singapore Singapore audiences:</w:t>
      </w:r>
      <w:r>
        <w:t xml:space="preserve"> </w:t>
      </w:r>
      <w:r>
        <w:t xml:space="preserve">• LinkedIn campaigns highlighting "Singapore-Specific" features: Automated CREC submission templates, MOH-approved data protocols, and A*STAR grant tracker integration.</w:t>
      </w:r>
      <w:r>
        <w:t xml:space="preserve"> </w:t>
      </w:r>
      <w:r>
        <w:t xml:space="preserve">• Webinars co-hosted with NUS Research Office featuring local success stories (e.g., "How NTU’s AI Team Reduced Grant Reporting by 70%").</w:t>
      </w:r>
      <w:r>
        <w:t xml:space="preserve"> </w:t>
      </w:r>
      <w:r>
        <w:t xml:space="preserve">• SEO strategy targeting keywords like "Singapore academic research compliance software" and "Academic Researcher tools Singapore."</w:t>
      </w:r>
    </w:p>
    <w:bookmarkEnd w:id="24"/>
    <w:bookmarkStart w:id="25" w:name="institutional-partnerships"/>
    <w:p>
      <w:pPr>
        <w:pStyle w:val="Heading3"/>
      </w:pPr>
      <w:r>
        <w:t xml:space="preserve">2. Institutional Partnerships</w:t>
      </w:r>
    </w:p>
    <w:p>
      <w:pPr>
        <w:pStyle w:val="FirstParagraph"/>
      </w:pPr>
      <w:r>
        <w:t xml:space="preserve">Strategic alliances with Singapore institutions form the backbone of this Marketing Plan:</w:t>
      </w:r>
      <w:r>
        <w:t xml:space="preserve"> </w:t>
      </w:r>
      <w:r>
        <w:t xml:space="preserve">• Exclusive pilot programs at A*STAR research centers (e.g., Biopolis, Fusionopolis)</w:t>
      </w:r>
      <w:r>
        <w:t xml:space="preserve"> </w:t>
      </w:r>
      <w:r>
        <w:t xml:space="preserve">• Co-branded workshops at Singapore University of Technology and Design (SUTD) for Early-Career Academic Researchers</w:t>
      </w:r>
      <w:r>
        <w:t xml:space="preserve"> </w:t>
      </w:r>
      <w:r>
        <w:t xml:space="preserve">• Integration with NUS’ existing research management system via API</w:t>
      </w:r>
    </w:p>
    <w:bookmarkEnd w:id="25"/>
    <w:bookmarkStart w:id="26" w:name="X78511a5075077fbc957b789063d6fcb14a38d58"/>
    <w:p>
      <w:pPr>
        <w:pStyle w:val="Heading3"/>
      </w:pPr>
      <w:r>
        <w:t xml:space="preserve">3. Community Engagement in Singapore Singapore</w:t>
      </w:r>
    </w:p>
    <w:p>
      <w:pPr>
        <w:pStyle w:val="FirstParagraph"/>
      </w:pPr>
      <w:r>
        <w:t xml:space="preserve">We foster organic growth through Singapore-centric community building:</w:t>
      </w:r>
      <w:r>
        <w:t xml:space="preserve"> </w:t>
      </w:r>
      <w:r>
        <w:t xml:space="preserve">• "Researcher Connect" events at National Library Board venues featuring talks by MOH-accredited ethics experts</w:t>
      </w:r>
      <w:r>
        <w:t xml:space="preserve"> </w:t>
      </w:r>
      <w:r>
        <w:t xml:space="preserve">• Sponsorship of the annual Singapore Research Excellence Awards (SREAs)</w:t>
      </w:r>
      <w:r>
        <w:t xml:space="preserve"> </w:t>
      </w:r>
      <w:r>
        <w:t xml:space="preserve">• Dedicated WhatsApp channel for Academic Researchers in Singapore to share regulatory tips (with SingHealth compliance officers moderating)</w:t>
      </w:r>
    </w:p>
    <w:bookmarkEnd w:id="26"/>
    <w:bookmarkEnd w:id="27"/>
    <w:bookmarkStart w:id="28" w:name="tactical-implementation-timeline"/>
    <w:p>
      <w:pPr>
        <w:pStyle w:val="Heading2"/>
      </w:pPr>
      <w:r>
        <w:t xml:space="preserve">Tactical Implementation Timeline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Quarter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Key Activities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Q1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Launch Singapore-focused website with Singlish-friendly UI; partner with A*STAR for pilot program at 3 institutes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Q2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Roll out "Compliance Navigator" feature addressing MOH and PDPA requirements; host first Researcher Connect event at NUS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Q3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Secure SUTD co-branding partnership; launch referral program for Academic Researchers in Singapore Singapore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Q4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Pilot expansion to SingHealth institutions; begin case study development with 15+ Academic Researchers</w:t>
            </w:r>
          </w:p>
        </w:tc>
      </w:tr>
    </w:tbl>
    <w:bookmarkEnd w:id="28"/>
    <w:bookmarkStart w:id="29" w:name="budget-allocation-sgd"/>
    <w:p>
      <w:pPr>
        <w:pStyle w:val="Heading2"/>
      </w:pPr>
      <w:r>
        <w:t xml:space="preserve">Budget Allocation (SGD)</w:t>
      </w:r>
    </w:p>
    <w:p>
      <w:pPr>
        <w:pStyle w:val="FirstParagraph"/>
      </w:pPr>
      <w:r>
        <w:t xml:space="preserve">Total Budget: SGD $985,000</w:t>
      </w:r>
      <w:r>
        <w:t xml:space="preserve"> </w:t>
      </w:r>
      <w:r>
        <w:t xml:space="preserve">• Digital Advertising (45%): Targeted LinkedIn/Google Ads for Singapore institutions</w:t>
      </w:r>
      <w:r>
        <w:t xml:space="preserve"> </w:t>
      </w:r>
      <w:r>
        <w:t xml:space="preserve">• Partnerships (30%): Co-marketing funds with A*STAR/NUS</w:t>
      </w:r>
      <w:r>
        <w:t xml:space="preserve"> </w:t>
      </w:r>
      <w:r>
        <w:t xml:space="preserve">• Events &amp; Community (15%): Researcher Connect events and SREAs sponsorship</w:t>
      </w:r>
      <w:r>
        <w:t xml:space="preserve"> </w:t>
      </w:r>
      <w:r>
        <w:t xml:space="preserve">• Localization (10%): Singlish-optimized content and MOH-compliant UI</w:t>
      </w:r>
    </w:p>
    <w:bookmarkEnd w:id="29"/>
    <w:bookmarkStart w:id="30" w:name="success-metrics"/>
    <w:p>
      <w:pPr>
        <w:pStyle w:val="Heading2"/>
      </w:pPr>
      <w:r>
        <w:t xml:space="preserve">Success Metrics</w:t>
      </w:r>
    </w:p>
    <w:p>
      <w:pPr>
        <w:pStyle w:val="FirstParagraph"/>
      </w:pPr>
      <w:r>
        <w:t xml:space="preserve">Measuring effectiveness through Singapore-specific KPIs:</w:t>
      </w:r>
      <w:r>
        <w:t xml:space="preserve"> </w:t>
      </w:r>
      <w:r>
        <w:t xml:space="preserve">• Conversion Rate: 25% from demo to paid subscription (vs. industry 18%)</w:t>
      </w:r>
      <w:r>
        <w:t xml:space="preserve"> </w:t>
      </w:r>
      <w:r>
        <w:t xml:space="preserve">• Net Promoter Score: ≥45 among Academic Researchers in Singapore</w:t>
      </w:r>
      <w:r>
        <w:t xml:space="preserve"> </w:t>
      </w:r>
      <w:r>
        <w:t xml:space="preserve">• Institutional Adoption Rate: ≥70% of pilot institutes expanding to full deployment</w:t>
      </w:r>
      <w:r>
        <w:t xml:space="preserve"> </w:t>
      </w:r>
      <w:r>
        <w:t xml:space="preserve">• Regulatory Compliance Rating: 98% accuracy in Singapore-specific submissions</w:t>
      </w:r>
    </w:p>
    <w:bookmarkEnd w:id="30"/>
    <w:bookmarkStart w:id="31" w:name="competitive-differentiation"/>
    <w:p>
      <w:pPr>
        <w:pStyle w:val="Heading2"/>
      </w:pPr>
      <w:r>
        <w:t xml:space="preserve">Competitive Differentiation</w:t>
      </w:r>
    </w:p>
    <w:p>
      <w:pPr>
        <w:pStyle w:val="FirstParagraph"/>
      </w:pPr>
      <w:r>
        <w:t xml:space="preserve">While global platforms like LabArchives exist, this Marketing Plan emphasizes our Singapore Singapore advantage:</w:t>
      </w:r>
      <w:r>
        <w:t xml:space="preserve"> </w:t>
      </w:r>
      <w:r>
        <w:t xml:space="preserve">• Real-time updates on MOH/CREC policy changes (e.g., new clinical trial rules)</w:t>
      </w:r>
      <w:r>
        <w:t xml:space="preserve"> </w:t>
      </w:r>
      <w:r>
        <w:t xml:space="preserve">• Built-in translation for Singlish-English research collaborations</w:t>
      </w:r>
      <w:r>
        <w:t xml:space="preserve"> </w:t>
      </w:r>
      <w:r>
        <w:t xml:space="preserve">• Localized support team with PhD-level researchers available 8am–8pm SGT</w:t>
      </w:r>
      <w:r>
        <w:t xml:space="preserve"> </w:t>
      </w:r>
      <w:r>
        <w:t xml:space="preserve">Unlike competitors, we don’t just adapt to Singapore – we engineer solutions within its regulatory DNA. For the Academic Researcher in Singapore Singapore, this means zero learning curves navigating local bureaucracy.</w:t>
      </w:r>
    </w:p>
    <w:bookmarkEnd w:id="31"/>
    <w:bookmarkStart w:id="32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Marketing Plan positions our service as the non-negotiable toolkit for every Academic Researcher operating in Singapore Singapore. By embedding ourselves within the fabric of Singapore’s research ecosystem – from A*STAR protocols to SingHealth workflows – we transform administrative burdens into strategic advantages. The time for generic academic tools has passed; only solutions engineered *for* Singapore will dominate this market. This Marketing Plan delivers precisely that: a hyper-relevant strategy where every touchpoint resonates with the unique rhythm of Academic Researcher life in Singapore Singapore.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Academic Researcher Services in Singapore Singapore</dc:title>
  <dc:creator/>
  <dc:language>en</dc:language>
  <cp:keywords/>
  <dcterms:created xsi:type="dcterms:W3CDTF">2026-07-23T21:29:16Z</dcterms:created>
  <dcterms:modified xsi:type="dcterms:W3CDTF">2026-07-23T21:29:16Z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