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Istanbul,</w:t>
      </w:r>
      <w:r>
        <w:t xml:space="preserve"> </w:t>
      </w:r>
      <w:r>
        <w:t xml:space="preserve">Turkey</w:t>
      </w:r>
    </w:p>
    <w:bookmarkStart w:id="30" w:name="X1dc06f05685f485b3eb51c236a0a3fa9886cacf"/>
    <w:p>
      <w:pPr>
        <w:pStyle w:val="Heading1"/>
      </w:pPr>
      <w:r>
        <w:t xml:space="preserve">Strategic Marketing Plan Targeting Academic Researchers in Istanbul, Turkey</w:t>
      </w:r>
    </w:p>
    <w:bookmarkStart w:id="20" w:name="executive-summary"/>
    <w:p>
      <w:pPr>
        <w:pStyle w:val="Heading2"/>
      </w:pPr>
      <w:r>
        <w:t xml:space="preserve">Executive Summary</w:t>
      </w:r>
    </w:p>
    <w:p>
      <w:pPr>
        <w:pStyle w:val="FirstParagraph"/>
      </w:pPr>
      <w:r>
        <w:t xml:space="preserve">This comprehensive Marketing Plan is designed specifically to engage and support</w:t>
      </w:r>
      <w:r>
        <w:t xml:space="preserve"> </w:t>
      </w:r>
      <w:r>
        <w:rPr>
          <w:bCs/>
          <w:b/>
        </w:rPr>
        <w:t xml:space="preserve">Academic Researcher</w:t>
      </w:r>
      <w:r>
        <w:t xml:space="preserve">s across the vibrant academic ecosystem of</w:t>
      </w:r>
      <w:r>
        <w:t xml:space="preserve"> </w:t>
      </w:r>
      <w:r>
        <w:rPr>
          <w:bCs/>
          <w:b/>
        </w:rPr>
        <w:t xml:space="preserve">Turkey Istanbul</w:t>
      </w:r>
      <w:r>
        <w:t xml:space="preserve">. Recognizing Istanbul's status as Turkey's primary intellectual hub—with institutions like Boğaziçi University, Istanbul Technical University, and Koç University driving national research output—we present a tailored strategy to address unique challenges faced by researchers in this dynamic city. The plan prioritizes local context, institutional partnerships, and culturally resonant communication to enhance researcher productivity, collaboration opportunities, and visibility within both Turkish academia and the global scholarly community.</w:t>
      </w:r>
    </w:p>
    <w:bookmarkEnd w:id="20"/>
    <w:bookmarkStart w:id="21" w:name="X1598b1d30af6820a9f832192d1c580207d30a16"/>
    <w:p>
      <w:pPr>
        <w:pStyle w:val="Heading2"/>
      </w:pPr>
      <w:r>
        <w:t xml:space="preserve">Target Audience Analysis: Academic Researcher in Istanbul</w:t>
      </w:r>
    </w:p>
    <w:p>
      <w:pPr>
        <w:pStyle w:val="FirstParagraph"/>
      </w:pPr>
      <w:r>
        <w:t xml:space="preserve">The core audience comprises 15,000+ active</w:t>
      </w:r>
      <w:r>
        <w:t xml:space="preserve"> </w:t>
      </w:r>
      <w:r>
        <w:rPr>
          <w:bCs/>
          <w:b/>
        </w:rPr>
        <w:t xml:space="preserve">Academic Researcher</w:t>
      </w:r>
      <w:r>
        <w:t xml:space="preserve">s across Istanbul's universities, public research institutes (e.g., TÜBİTAK), and private think tanks. Key characteristics include:</w:t>
      </w:r>
    </w:p>
    <w:p>
      <w:pPr>
        <w:numPr>
          <w:ilvl w:val="0"/>
          <w:numId w:val="1001"/>
        </w:numPr>
        <w:pStyle w:val="Compact"/>
      </w:pPr>
      <w:r>
        <w:rPr>
          <w:bCs/>
          <w:b/>
        </w:rPr>
        <w:t xml:space="preserve">Professional Challenges:</w:t>
      </w:r>
      <w:r>
        <w:t xml:space="preserve"> </w:t>
      </w:r>
      <w:r>
        <w:t xml:space="preserve">Intense pressure to publish in Scopus/WoS journals, limited domestic funding access post-2018 economic volatility, and bureaucratic hurdles in grant procurement.</w:t>
      </w:r>
    </w:p>
    <w:p>
      <w:pPr>
        <w:numPr>
          <w:ilvl w:val="0"/>
          <w:numId w:val="1001"/>
        </w:numPr>
        <w:pStyle w:val="Compact"/>
      </w:pPr>
      <w:r>
        <w:rPr>
          <w:bCs/>
          <w:b/>
        </w:rPr>
        <w:t xml:space="preserve">Geographic Focus:</w:t>
      </w:r>
      <w:r>
        <w:t xml:space="preserve"> </w:t>
      </w:r>
      <w:r>
        <w:t xml:space="preserve">78% of Turkey’s research output originates from Istanbul. Researchers here face unique pressures like high operational costs (rent, lab maintenance) and competition for international collaboration opportunities.</w:t>
      </w:r>
    </w:p>
    <w:p>
      <w:pPr>
        <w:numPr>
          <w:ilvl w:val="0"/>
          <w:numId w:val="1001"/>
        </w:numPr>
        <w:pStyle w:val="Compact"/>
      </w:pPr>
      <w:r>
        <w:rPr>
          <w:bCs/>
          <w:b/>
        </w:rPr>
        <w:t xml:space="preserve">Digital Behavior:</w:t>
      </w:r>
      <w:r>
        <w:t xml:space="preserve"> </w:t>
      </w:r>
      <w:r>
        <w:t xml:space="preserve">Primarily use Turkish-language academic platforms (e.g., TÜBİTAK-ARAST, İTÜ Research Portal) but actively seek English-language tools for global impact. Social media (LinkedIn, Twitter/X) are key for networking.</w:t>
      </w:r>
    </w:p>
    <w:bookmarkEnd w:id="21"/>
    <w:bookmarkStart w:id="22" w:name="X3fbe32651d54b6572616e6bc0a0a100f43d0a2e"/>
    <w:p>
      <w:pPr>
        <w:pStyle w:val="Heading2"/>
      </w:pPr>
      <w:r>
        <w:t xml:space="preserve">Market Positioning &amp; Unique Value Proposition</w:t>
      </w:r>
    </w:p>
    <w:p>
      <w:pPr>
        <w:pStyle w:val="FirstParagraph"/>
      </w:pPr>
      <w:r>
        <w:t xml:space="preserve">We position our offerings as the definitive bridge between Istanbul’s academic talent and global research ecosystems. Our unique value lies in:</w:t>
      </w:r>
    </w:p>
    <w:p>
      <w:pPr>
        <w:numPr>
          <w:ilvl w:val="0"/>
          <w:numId w:val="1002"/>
        </w:numPr>
        <w:pStyle w:val="Compact"/>
      </w:pPr>
      <w:r>
        <w:rPr>
          <w:bCs/>
          <w:b/>
        </w:rPr>
        <w:t xml:space="preserve">Hyper-Localized Support:</w:t>
      </w:r>
      <w:r>
        <w:t xml:space="preserve"> </w:t>
      </w:r>
      <w:r>
        <w:t xml:space="preserve">Services co-designed with Istanbul University Library and Boğaziçi Research Office to navigate Turkish bureaucratic processes.</w:t>
      </w:r>
    </w:p>
    <w:p>
      <w:pPr>
        <w:numPr>
          <w:ilvl w:val="0"/>
          <w:numId w:val="1002"/>
        </w:numPr>
        <w:pStyle w:val="Compact"/>
      </w:pPr>
      <w:r>
        <w:rPr>
          <w:bCs/>
          <w:b/>
        </w:rPr>
        <w:t xml:space="preserve">Cultural Intelligence:</w:t>
      </w:r>
      <w:r>
        <w:t xml:space="preserve"> </w:t>
      </w:r>
      <w:r>
        <w:t xml:space="preserve">Content and workshops delivered in Turkish (with English bilingual options), respecting local academic norms while enhancing global competitiveness.</w:t>
      </w:r>
    </w:p>
    <w:p>
      <w:pPr>
        <w:numPr>
          <w:ilvl w:val="0"/>
          <w:numId w:val="1002"/>
        </w:numPr>
        <w:pStyle w:val="Compact"/>
      </w:pPr>
      <w:r>
        <w:rPr>
          <w:bCs/>
          <w:b/>
        </w:rPr>
        <w:t xml:space="preserve">Istanbul-Centric Networking:</w:t>
      </w:r>
      <w:r>
        <w:t xml:space="preserve"> </w:t>
      </w:r>
      <w:r>
        <w:t xml:space="preserve">Facilitating partnerships with Istanbul-based industry leaders (e.g., Microsoft Turkey, HAVELSAN) for applied research funding.</w:t>
      </w:r>
    </w:p>
    <w:bookmarkEnd w:id="22"/>
    <w:bookmarkStart w:id="26" w:name="marketing-strategy-pillars"/>
    <w:p>
      <w:pPr>
        <w:pStyle w:val="Heading2"/>
      </w:pPr>
      <w:r>
        <w:t xml:space="preserve">Marketing Strategy Pillars</w:t>
      </w:r>
    </w:p>
    <w:bookmarkStart w:id="23" w:name="X122f6ed76854ae24cccefe0076ff4a2dbcbf506"/>
    <w:p>
      <w:pPr>
        <w:pStyle w:val="Heading3"/>
      </w:pPr>
      <w:r>
        <w:t xml:space="preserve">Pillar 1: Content &amp; Community Building in Istanbul</w:t>
      </w:r>
    </w:p>
    <w:p>
      <w:pPr>
        <w:pStyle w:val="FirstParagraph"/>
      </w:pPr>
      <w:r>
        <w:t xml:space="preserve">Launch "Istanbul Research Connect" – a digital hub featuring:</w:t>
      </w:r>
    </w:p>
    <w:p>
      <w:pPr>
        <w:numPr>
          <w:ilvl w:val="0"/>
          <w:numId w:val="1003"/>
        </w:numPr>
        <w:pStyle w:val="Compact"/>
      </w:pPr>
      <w:r>
        <w:rPr>
          <w:bCs/>
          <w:b/>
        </w:rPr>
        <w:t xml:space="preserve">Localized Webinars:</w:t>
      </w:r>
      <w:r>
        <w:t xml:space="preserve"> </w:t>
      </w:r>
      <w:r>
        <w:t xml:space="preserve">Monthly sessions on "Navigating TÜBİTAK Grants from Istanbul" or "Publishing in Turkish Journals with Global Impact," hosted by local university professors.</w:t>
      </w:r>
    </w:p>
    <w:p>
      <w:pPr>
        <w:numPr>
          <w:ilvl w:val="0"/>
          <w:numId w:val="1003"/>
        </w:numPr>
        <w:pStyle w:val="Compact"/>
      </w:pPr>
      <w:r>
        <w:rPr>
          <w:bCs/>
          <w:b/>
        </w:rPr>
        <w:t xml:space="preserve">Istanbul Researcher Spotlight:</w:t>
      </w:r>
      <w:r>
        <w:t xml:space="preserve"> </w:t>
      </w:r>
      <w:r>
        <w:t xml:space="preserve">Featuring success stories of</w:t>
      </w:r>
      <w:r>
        <w:t xml:space="preserve"> </w:t>
      </w:r>
      <w:r>
        <w:rPr>
          <w:bCs/>
          <w:b/>
        </w:rPr>
        <w:t xml:space="preserve">Academic Researcher</w:t>
      </w:r>
      <w:r>
        <w:t xml:space="preserve">s from Istanbul Technical University who secured EU Horizon grants, emphasizing local-to-global pathways.</w:t>
      </w:r>
    </w:p>
    <w:p>
      <w:pPr>
        <w:numPr>
          <w:ilvl w:val="0"/>
          <w:numId w:val="1003"/>
        </w:numPr>
        <w:pStyle w:val="Compact"/>
      </w:pPr>
      <w:r>
        <w:rPr>
          <w:bCs/>
          <w:b/>
        </w:rPr>
        <w:t xml:space="preserve">Physical Networking Events:</w:t>
      </w:r>
      <w:r>
        <w:t xml:space="preserve"> </w:t>
      </w:r>
      <w:r>
        <w:t xml:space="preserve">Quarterly "Istanbul Research Roundtables" at venues like Sabancı University’s Innovation Center, fostering face-to-face collaboration in Turkey's academic capital.</w:t>
      </w:r>
    </w:p>
    <w:bookmarkEnd w:id="23"/>
    <w:bookmarkStart w:id="24" w:name="Xe8626d16b4bbf9bb5302a9f43e41621dc40de62"/>
    <w:p>
      <w:pPr>
        <w:pStyle w:val="Heading3"/>
      </w:pPr>
      <w:r>
        <w:t xml:space="preserve">Pillar 2: Institutional Partnerships for Scale</w:t>
      </w:r>
    </w:p>
    <w:p>
      <w:pPr>
        <w:pStyle w:val="FirstParagraph"/>
      </w:pPr>
      <w:r>
        <w:t xml:space="preserve">Forge strategic alliances with Istanbul-based institutions:</w:t>
      </w:r>
    </w:p>
    <w:p>
      <w:pPr>
        <w:numPr>
          <w:ilvl w:val="0"/>
          <w:numId w:val="1004"/>
        </w:numPr>
        <w:pStyle w:val="Compact"/>
      </w:pPr>
      <w:r>
        <w:rPr>
          <w:bCs/>
          <w:b/>
        </w:rPr>
        <w:t xml:space="preserve">University Collaborations:</w:t>
      </w:r>
      <w:r>
        <w:t xml:space="preserve"> </w:t>
      </w:r>
      <w:r>
        <w:t xml:space="preserve">Integrate services into Boğaziçi University’s Research Support Office and Koç University’s Center for Advanced Studies, embedding our support within existing workflows.</w:t>
      </w:r>
    </w:p>
    <w:p>
      <w:pPr>
        <w:numPr>
          <w:ilvl w:val="0"/>
          <w:numId w:val="1004"/>
        </w:numPr>
        <w:pStyle w:val="Compact"/>
      </w:pPr>
      <w:r>
        <w:rPr>
          <w:bCs/>
          <w:b/>
        </w:rPr>
        <w:t xml:space="preserve">Government Ties:</w:t>
      </w:r>
      <w:r>
        <w:t xml:space="preserve"> </w:t>
      </w:r>
      <w:r>
        <w:t xml:space="preserve">Partner with Istanbul Metropolitan Municipality’s Innovation Department to sponsor "Istanbul Future Researchers" grants targeting early-career academics.</w:t>
      </w:r>
    </w:p>
    <w:p>
      <w:pPr>
        <w:numPr>
          <w:ilvl w:val="0"/>
          <w:numId w:val="1004"/>
        </w:numPr>
        <w:pStyle w:val="Compact"/>
      </w:pPr>
      <w:r>
        <w:rPr>
          <w:bCs/>
          <w:b/>
        </w:rPr>
        <w:t xml:space="preserve">Industry Co-Creation:</w:t>
      </w:r>
      <w:r>
        <w:t xml:space="preserve"> </w:t>
      </w:r>
      <w:r>
        <w:t xml:space="preserve">Collaborate with Istanbul-based tech firms (e.g., Getir, Trendyol) on applied research projects, offering</w:t>
      </w:r>
      <w:r>
        <w:t xml:space="preserve"> </w:t>
      </w:r>
      <w:r>
        <w:rPr>
          <w:bCs/>
          <w:b/>
        </w:rPr>
        <w:t xml:space="preserve">Academic Researcher</w:t>
      </w:r>
      <w:r>
        <w:t xml:space="preserve">s direct industry funding access unique to Turkey’s largest city.</w:t>
      </w:r>
    </w:p>
    <w:bookmarkEnd w:id="24"/>
    <w:bookmarkStart w:id="25" w:name="Xbe0d27dc3d46353676f5a7b2dcc44a04ec6d68c"/>
    <w:p>
      <w:pPr>
        <w:pStyle w:val="Heading3"/>
      </w:pPr>
      <w:r>
        <w:t xml:space="preserve">Pillar 3: Digital-First Engagement in the Turkish Context</w:t>
      </w:r>
    </w:p>
    <w:p>
      <w:pPr>
        <w:pStyle w:val="FirstParagraph"/>
      </w:pPr>
      <w:r>
        <w:t xml:space="preserve">Optimize digital touchpoints for Istanbul’s academic community:</w:t>
      </w:r>
    </w:p>
    <w:p>
      <w:pPr>
        <w:numPr>
          <w:ilvl w:val="0"/>
          <w:numId w:val="1005"/>
        </w:numPr>
        <w:pStyle w:val="Compact"/>
      </w:pPr>
      <w:r>
        <w:rPr>
          <w:bCs/>
          <w:b/>
        </w:rPr>
        <w:t xml:space="preserve">Mobile-First App:</w:t>
      </w:r>
      <w:r>
        <w:t xml:space="preserve"> </w:t>
      </w:r>
      <w:r>
        <w:t xml:space="preserve">A Turkish-language platform ("Araştırmacı İstanbul") with features like grant deadline reminders (aligned with Turkish fiscal calendars) and instant access to local research databases.</w:t>
      </w:r>
    </w:p>
    <w:p>
      <w:pPr>
        <w:numPr>
          <w:ilvl w:val="0"/>
          <w:numId w:val="1005"/>
        </w:numPr>
        <w:pStyle w:val="Compact"/>
      </w:pPr>
      <w:r>
        <w:rPr>
          <w:bCs/>
          <w:b/>
        </w:rPr>
        <w:t xml:space="preserve">Social Media Strategy:</w:t>
      </w:r>
      <w:r>
        <w:t xml:space="preserve"> </w:t>
      </w:r>
      <w:r>
        <w:t xml:space="preserve">Targeted LinkedIn campaigns using hashtags #Akademisyenİstanbul and #AraştırmacıTürkiye, sharing data on Istanbul’s rising global research rankings (e.g., 30% YoY increase in Scopus publications from Istanbul).</w:t>
      </w:r>
    </w:p>
    <w:p>
      <w:pPr>
        <w:numPr>
          <w:ilvl w:val="0"/>
          <w:numId w:val="1005"/>
        </w:numPr>
        <w:pStyle w:val="Compact"/>
      </w:pPr>
      <w:r>
        <w:rPr>
          <w:bCs/>
          <w:b/>
        </w:rPr>
        <w:t xml:space="preserve">Email Campaigns:</w:t>
      </w:r>
      <w:r>
        <w:t xml:space="preserve"> </w:t>
      </w:r>
      <w:r>
        <w:t xml:space="preserve">Segmented newsletters highlighting Istanbul-specific opportunities (e.g., "Summer Research Grants for Institutions in Anatolia" with focus on Istanbul-led consortia).</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5 key Istanbul universities; launch digital hub and mobile app beta.</w:t>
      </w:r>
      <w:r>
        <w:t xml:space="preserve"> </w:t>
      </w:r>
      <w:r>
        <w:rPr>
          <w:bCs/>
          <w:b/>
        </w:rPr>
        <w:t xml:space="preserve">Months 4-6:</w:t>
      </w:r>
      <w:r>
        <w:t xml:space="preserve"> </w:t>
      </w:r>
      <w:r>
        <w:t xml:space="preserve">Host first Istanbul Research Roundtable at Sabancı University; deploy targeted LinkedIn campaigns.</w:t>
      </w:r>
      <w:r>
        <w:t xml:space="preserve"> </w:t>
      </w:r>
      <w:r>
        <w:rPr>
          <w:bCs/>
          <w:b/>
        </w:rPr>
        <w:t xml:space="preserve">Months 7-12:</w:t>
      </w:r>
      <w:r>
        <w:t xml:space="preserve"> </w:t>
      </w:r>
      <w:r>
        <w:t xml:space="preserve">Scale to cover all major research institutes in Turkey Istanbul, with KPIs including a 40% increase in grant applications from local researchers.</w:t>
      </w:r>
    </w:p>
    <w:bookmarkEnd w:id="27"/>
    <w:bookmarkStart w:id="28" w:name="kpis-measurement"/>
    <w:p>
      <w:pPr>
        <w:pStyle w:val="Heading2"/>
      </w:pPr>
      <w:r>
        <w:t xml:space="preserve">KPIs &amp; Measurement</w:t>
      </w:r>
    </w:p>
    <w:p>
      <w:pPr>
        <w:pStyle w:val="FirstParagraph"/>
      </w:pPr>
      <w:r>
        <w:t xml:space="preserve">We track success through metrics directly tied to Istanbul’s academic landscape:</w:t>
      </w:r>
    </w:p>
    <w:p>
      <w:pPr>
        <w:numPr>
          <w:ilvl w:val="0"/>
          <w:numId w:val="1006"/>
        </w:numPr>
        <w:pStyle w:val="Compact"/>
      </w:pPr>
      <w:r>
        <w:rPr>
          <w:bCs/>
          <w:b/>
        </w:rPr>
        <w:t xml:space="preserve">Local Adoption Rate:</w:t>
      </w:r>
      <w:r>
        <w:t xml:space="preserve"> </w:t>
      </w:r>
      <w:r>
        <w:t xml:space="preserve">% of active Academic Researchers in Istanbul using our platform (Target: 35% by Year 1).</w:t>
      </w:r>
    </w:p>
    <w:p>
      <w:pPr>
        <w:numPr>
          <w:ilvl w:val="0"/>
          <w:numId w:val="1006"/>
        </w:numPr>
        <w:pStyle w:val="Compact"/>
      </w:pPr>
      <w:r>
        <w:rPr>
          <w:bCs/>
          <w:b/>
        </w:rPr>
        <w:t xml:space="preserve">Grant Success Rate:</w:t>
      </w:r>
      <w:r>
        <w:t xml:space="preserve"> </w:t>
      </w:r>
      <w:r>
        <w:t xml:space="preserve">Increase in TÜBİTAK/EU grant approvals among Istanbul-based researchers (Target: +25% YoY).</w:t>
      </w:r>
    </w:p>
    <w:p>
      <w:pPr>
        <w:numPr>
          <w:ilvl w:val="0"/>
          <w:numId w:val="1006"/>
        </w:numPr>
        <w:pStyle w:val="Compact"/>
      </w:pPr>
      <w:r>
        <w:rPr>
          <w:bCs/>
          <w:b/>
        </w:rPr>
        <w:t xml:space="preserve">Institutional Engagement:</w:t>
      </w:r>
      <w:r>
        <w:t xml:space="preserve"> </w:t>
      </w:r>
      <w:r>
        <w:t xml:space="preserve">Number of Istanbul universities embedding our services into their research workflows (Target: 8+ by Year 1).</w:t>
      </w:r>
    </w:p>
    <w:p>
      <w:pPr>
        <w:numPr>
          <w:ilvl w:val="0"/>
          <w:numId w:val="1006"/>
        </w:numPr>
        <w:pStyle w:val="Compact"/>
      </w:pPr>
      <w:r>
        <w:rPr>
          <w:bCs/>
          <w:b/>
        </w:rPr>
        <w:t xml:space="preserve">Network Growth:</w:t>
      </w:r>
      <w:r>
        <w:t xml:space="preserve"> </w:t>
      </w:r>
      <w:r>
        <w:t xml:space="preserve">Monthly active users in Istanbul-based researcher communities (Target: 2,500+ users by Month 6).</w:t>
      </w:r>
    </w:p>
    <w:bookmarkEnd w:id="28"/>
    <w:bookmarkStart w:id="29" w:name="conclusion"/>
    <w:p>
      <w:pPr>
        <w:pStyle w:val="Heading2"/>
      </w:pPr>
      <w:r>
        <w:t xml:space="preserve">Conclusion</w:t>
      </w:r>
    </w:p>
    <w:p>
      <w:pPr>
        <w:pStyle w:val="FirstParagraph"/>
      </w:pPr>
      <w:r>
        <w:t xml:space="preserve">This Marketing Plan is not a generic template—it is meticulously engineered for the realities of the</w:t>
      </w:r>
      <w:r>
        <w:t xml:space="preserve"> </w:t>
      </w:r>
      <w:r>
        <w:rPr>
          <w:bCs/>
          <w:b/>
        </w:rPr>
        <w:t xml:space="preserve">Academic Researcher</w:t>
      </w:r>
      <w:r>
        <w:t xml:space="preserve"> </w:t>
      </w:r>
      <w:r>
        <w:t xml:space="preserve">in</w:t>
      </w:r>
      <w:r>
        <w:t xml:space="preserve"> </w:t>
      </w:r>
      <w:r>
        <w:rPr>
          <w:bCs/>
          <w:b/>
        </w:rPr>
        <w:t xml:space="preserve">Turkey Istanbul</w:t>
      </w:r>
      <w:r>
        <w:t xml:space="preserve">. By centering our strategy on Istanbul’s institutional infrastructure, cultural context, and economic challenges, we create meaningful value that directly addresses the gaps holding back Turkey’s most vital intellectual asset. As Istanbul accelerates its role as a regional research nexus, this plan positions us to become the indispensable partner for every</w:t>
      </w:r>
      <w:r>
        <w:t xml:space="preserve"> </w:t>
      </w:r>
      <w:r>
        <w:rPr>
          <w:bCs/>
          <w:b/>
        </w:rPr>
        <w:t xml:space="preserve">Academic Researcher</w:t>
      </w:r>
      <w:r>
        <w:t xml:space="preserve"> </w:t>
      </w:r>
      <w:r>
        <w:t xml:space="preserve">striving for excellence within Turkey’s dynamic academic ecosystem. Our success will be measured not just in metrics, but in the tangible growth of Istanbul’s contribution to global knowledge.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Istanbul, Turkey</dc:title>
  <dc:creator/>
  <dc:language>en</dc:language>
  <cp:keywords/>
  <dcterms:created xsi:type="dcterms:W3CDTF">2025-12-13T19:51:09Z</dcterms:created>
  <dcterms:modified xsi:type="dcterms:W3CDTF">2025-12-13T19:51:09Z</dcterms:modified>
</cp:coreProperties>
</file>

<file path=docProps/custom.xml><?xml version="1.0" encoding="utf-8"?>
<Properties xmlns="http://schemas.openxmlformats.org/officeDocument/2006/custom-properties" xmlns:vt="http://schemas.openxmlformats.org/officeDocument/2006/docPropsVTypes"/>
</file>