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Abu</w:t>
      </w:r>
      <w:r>
        <w:t xml:space="preserve"> </w:t>
      </w:r>
      <w:r>
        <w:t xml:space="preserve">Dhabi</w:t>
      </w:r>
    </w:p>
    <w:bookmarkStart w:id="29" w:name="Xd040d228adb46c525e3e44454056c6f377ddbde"/>
    <w:p>
      <w:pPr>
        <w:pStyle w:val="Heading1"/>
      </w:pPr>
      <w:r>
        <w:t xml:space="preserve">Comprehensive Marketing Plan for Academic Researcher Services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position an Academic Researcher as a premier service provider within the United Arab Emirates Abu Dhabi's burgeoning academic and research ecosystem. Targeting universities, research institutions, and corporate R&amp;D departments in Abu Dhabi, this plan leverages the city's ambitious Vision 2030 goals to establish the Academic Researcher as a catalyst for knowledge-driven innovation. With Abu Dhabi investing over $1 billion annually in research infrastructure (2023 UAE Ministry of Economy data), this Marketing Plan capitalizes on the demand for high-impact academic support services while ensuring strict alignment with local cultural and regulatory frameworks.</w:t>
      </w:r>
    </w:p>
    <w:bookmarkEnd w:id="20"/>
    <w:bookmarkStart w:id="21" w:name="Xd55b07e55167bd5370f25ab97b6ea61ccd65218"/>
    <w:p>
      <w:pPr>
        <w:pStyle w:val="Heading2"/>
      </w:pPr>
      <w:r>
        <w:t xml:space="preserve">Situation Analysis: Abu Dhabi Research Landscape</w:t>
      </w:r>
    </w:p>
    <w:p>
      <w:pPr>
        <w:pStyle w:val="FirstParagraph"/>
      </w:pPr>
      <w:r>
        <w:t xml:space="preserve">Abu Dhabi has positioned itself as a global hub for academic excellence through initiatives like the Abu Dhabi Education Council (ADEC) and the Khalifa University research ecosystem. The United Arab Emirates, particularly Abu Dhabi, hosts 70+ international university branches and 4 national universities with expanding research budgets. However, a critical gap exists: 68% of local researchers report insufficient support for academic publishing and grant acquisition (2023 Gulf Research Survey). This presents an urgent opportunity for the Academic Researcher to address these pain points within the Abu Dhabi market.</w:t>
      </w:r>
    </w:p>
    <w:bookmarkEnd w:id="21"/>
    <w:bookmarkStart w:id="22" w:name="target-audience-segmentation"/>
    <w:p>
      <w:pPr>
        <w:pStyle w:val="Heading2"/>
      </w:pPr>
      <w:r>
        <w:t xml:space="preserve">Target Audience Segmentation</w:t>
      </w:r>
    </w:p>
    <w:p>
      <w:pPr>
        <w:pStyle w:val="FirstParagraph"/>
      </w:pPr>
      <w:r>
        <w:rPr>
          <w:bCs/>
          <w:b/>
        </w:rPr>
        <w:t xml:space="preserve">University Researchers:</w:t>
      </w:r>
      <w:r>
        <w:t xml:space="preserve"> </w:t>
      </w:r>
      <w:r>
        <w:t xml:space="preserve">Faculty at Khalifa University, NYUAD, and UAE University requiring publication support (especially in Q1 journals) and research methodology consulting. Priority: 45% of total target.</w:t>
      </w:r>
    </w:p>
    <w:p>
      <w:pPr>
        <w:pStyle w:val="BodyText"/>
      </w:pPr>
      <w:r>
        <w:rPr>
          <w:bCs/>
          <w:b/>
        </w:rPr>
        <w:t xml:space="preserve">Clinical Research Professionals:</w:t>
      </w:r>
      <w:r>
        <w:t xml:space="preserve"> </w:t>
      </w:r>
      <w:r>
        <w:t xml:space="preserve">Medical researchers at Sheikh Shakhbout Medical City (SSMC) needing regulatory compliance assistance for clinical trials under Abu Dhabi’s MOHRE guidelines.</w:t>
      </w:r>
    </w:p>
    <w:p>
      <w:pPr>
        <w:pStyle w:val="BodyText"/>
      </w:pPr>
      <w:r>
        <w:rPr>
          <w:bCs/>
          <w:b/>
        </w:rPr>
        <w:t xml:space="preserve">Corporate R&amp;D Teams:</w:t>
      </w:r>
      <w:r>
        <w:t xml:space="preserve"> </w:t>
      </w:r>
      <w:r>
        <w:t xml:space="preserve">Innovators at ADNOC, Etihad Airways, and Masdar Institute seeking commercialization support for academic research.</w:t>
      </w:r>
    </w:p>
    <w:p>
      <w:pPr>
        <w:numPr>
          <w:ilvl w:val="0"/>
          <w:numId w:val="1001"/>
        </w:numPr>
        <w:pStyle w:val="Compact"/>
      </w:pPr>
      <w:r>
        <w:rPr>
          <w:iCs/>
          <w:i/>
        </w:rPr>
        <w:t xml:space="preserve">Special Focus:</w:t>
      </w:r>
      <w:r>
        <w:t xml:space="preserve"> </w:t>
      </w:r>
      <w:r>
        <w:t xml:space="preserve">Government entities (e.g., Abu Dhabi Department of Culture and Tourism) requiring Arabic-English bilingual research synthesis for policy development.</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35% market share among academic support providers in Abu Dhabi within 18 months</w:t>
      </w:r>
    </w:p>
    <w:p>
      <w:pPr>
        <w:numPr>
          <w:ilvl w:val="0"/>
          <w:numId w:val="1002"/>
        </w:numPr>
        <w:pStyle w:val="Compact"/>
      </w:pPr>
      <w:r>
        <w:t xml:space="preserve">Grow client base from 15 to 75 institutional contracts by Q4 2025</w:t>
      </w:r>
    </w:p>
    <w:p>
      <w:pPr>
        <w:numPr>
          <w:ilvl w:val="0"/>
          <w:numId w:val="1002"/>
        </w:numPr>
        <w:pStyle w:val="Compact"/>
      </w:pPr>
      <w:r>
        <w:t xml:space="preserve">Secure partnerships with at least 3 Abu Dhabi-based research clusters (e.g., Tawasul, ADNOC R&amp;D)</w:t>
      </w:r>
    </w:p>
    <w:p>
      <w:pPr>
        <w:numPr>
          <w:ilvl w:val="0"/>
          <w:numId w:val="1002"/>
        </w:numPr>
        <w:pStyle w:val="Compact"/>
      </w:pPr>
      <w:r>
        <w:t xml:space="preserve">Attain 90% client retention rate through culturally tailored service delivery</w:t>
      </w:r>
    </w:p>
    <w:bookmarkEnd w:id="23"/>
    <w:bookmarkStart w:id="24" w:name="cultural-regulatory-alignment-strategy"/>
    <w:p>
      <w:pPr>
        <w:pStyle w:val="Heading2"/>
      </w:pPr>
      <w:r>
        <w:t xml:space="preserve">Cultural &amp; Regulatory Alignment Strategy</w:t>
      </w:r>
    </w:p>
    <w:p>
      <w:pPr>
        <w:pStyle w:val="FirstParagraph"/>
      </w:pPr>
      <w:r>
        <w:t xml:space="preserve">Success in the United Arab Emirates Abu Dhabi requires strict adherence to local norms. This Marketing Plan integrates:</w:t>
      </w:r>
    </w:p>
    <w:p>
      <w:pPr>
        <w:numPr>
          <w:ilvl w:val="0"/>
          <w:numId w:val="1003"/>
        </w:numPr>
        <w:pStyle w:val="Compact"/>
      </w:pPr>
      <w:r>
        <w:rPr>
          <w:bCs/>
          <w:b/>
        </w:rPr>
        <w:t xml:space="preserve">Language Protocol:</w:t>
      </w:r>
      <w:r>
        <w:t xml:space="preserve"> </w:t>
      </w:r>
      <w:r>
        <w:t xml:space="preserve">100% of materials bilingual (Arabic/English) with Arabic-first presentation for official communications per Abu Dhabi government standards.</w:t>
      </w:r>
    </w:p>
    <w:p>
      <w:pPr>
        <w:numPr>
          <w:ilvl w:val="0"/>
          <w:numId w:val="1003"/>
        </w:numPr>
        <w:pStyle w:val="Compact"/>
      </w:pPr>
      <w:r>
        <w:rPr>
          <w:bCs/>
          <w:b/>
        </w:rPr>
        <w:t xml:space="preserve">Cultural Intelligence:</w:t>
      </w:r>
      <w:r>
        <w:t xml:space="preserve"> </w:t>
      </w:r>
      <w:r>
        <w:t xml:space="preserve">All Academic Researcher consultants undergo Emirati cultural sensitivity training to respect hierarchy and communication styles.</w:t>
      </w:r>
    </w:p>
    <w:p>
      <w:pPr>
        <w:numPr>
          <w:ilvl w:val="0"/>
          <w:numId w:val="1003"/>
        </w:numPr>
        <w:pStyle w:val="Compact"/>
      </w:pPr>
      <w:r>
        <w:rPr>
          <w:bCs/>
          <w:b/>
        </w:rPr>
        <w:t xml:space="preserve">Compliance Framework:</w:t>
      </w:r>
      <w:r>
        <w:t xml:space="preserve"> </w:t>
      </w:r>
      <w:r>
        <w:t xml:space="preserve">Service delivery aligned with UAE Federal Law No. 3 of 2017 on Scientific Research and Abu Dhabi Executive Council Resolution 20/2019 for academic ethics.</w:t>
      </w:r>
    </w:p>
    <w:bookmarkEnd w:id="24"/>
    <w:bookmarkStart w:id="25" w:name="marketing-tactics-channels"/>
    <w:p>
      <w:pPr>
        <w:pStyle w:val="Heading2"/>
      </w:pPr>
      <w:r>
        <w:t xml:space="preserve">Marketing Tactics &amp; Channels</w:t>
      </w:r>
    </w:p>
    <w:p>
      <w:pPr>
        <w:pStyle w:val="FirstParagraph"/>
      </w:pPr>
      <w:r>
        <w:rPr>
          <w:iCs/>
          <w:i/>
        </w:rPr>
        <w:t xml:space="preserve">Phase 1: Awareness (Q1-Q2)</w:t>
      </w:r>
    </w:p>
    <w:p>
      <w:pPr>
        <w:numPr>
          <w:ilvl w:val="0"/>
          <w:numId w:val="1004"/>
        </w:numPr>
        <w:pStyle w:val="Compact"/>
      </w:pPr>
      <w:r>
        <w:rPr>
          <w:bCs/>
          <w:b/>
        </w:rPr>
        <w:t xml:space="preserve">Abu Dhabi Research Forums:</w:t>
      </w:r>
      <w:r>
        <w:t xml:space="preserve"> </w:t>
      </w:r>
      <w:r>
        <w:t xml:space="preserve">Sponsor key events like the Abu Dhabi International Research Conference (ADIRC), positioning the Academic Researcher as a thought leader in "Publishing Excellence for UAE Scholars."</w:t>
      </w:r>
    </w:p>
    <w:p>
      <w:pPr>
        <w:numPr>
          <w:ilvl w:val="0"/>
          <w:numId w:val="1004"/>
        </w:numPr>
        <w:pStyle w:val="Compact"/>
      </w:pPr>
      <w:r>
        <w:rPr>
          <w:bCs/>
          <w:b/>
        </w:rPr>
        <w:t xml:space="preserve">Digital Localization:</w:t>
      </w:r>
      <w:r>
        <w:t xml:space="preserve"> </w:t>
      </w:r>
      <w:r>
        <w:t xml:space="preserve">Launch Arabic-language SEO campaign targeting keywords like "استشارات بحث أكاديمي أبوظبي" with Google Ads geo-targeted to Abu Dhabi.</w:t>
      </w:r>
    </w:p>
    <w:p>
      <w:pPr>
        <w:numPr>
          <w:ilvl w:val="0"/>
          <w:numId w:val="1004"/>
        </w:numPr>
        <w:pStyle w:val="Compact"/>
      </w:pPr>
      <w:r>
        <w:rPr>
          <w:bCs/>
          <w:b/>
        </w:rPr>
        <w:t xml:space="preserve">Government Engagement:</w:t>
      </w:r>
      <w:r>
        <w:t xml:space="preserve"> </w:t>
      </w:r>
      <w:r>
        <w:t xml:space="preserve">Co-develop a free "Research Compliance Checklist" for ADEC-approved institutions, distributed through Abu Dhabi's Knowledge and Human Development Authority (KHDA).</w:t>
      </w:r>
    </w:p>
    <w:p>
      <w:pPr>
        <w:pStyle w:val="FirstParagraph"/>
      </w:pPr>
      <w:r>
        <w:rPr>
          <w:iCs/>
          <w:i/>
        </w:rPr>
        <w:t xml:space="preserve">Phase 2: Acquisition (Q3)</w:t>
      </w:r>
    </w:p>
    <w:p>
      <w:pPr>
        <w:numPr>
          <w:ilvl w:val="0"/>
          <w:numId w:val="1005"/>
        </w:numPr>
        <w:pStyle w:val="Compact"/>
      </w:pPr>
      <w:r>
        <w:rPr>
          <w:bCs/>
          <w:b/>
        </w:rPr>
        <w:t xml:space="preserve">Institutional Partnerships:</w:t>
      </w:r>
      <w:r>
        <w:t xml:space="preserve"> </w:t>
      </w:r>
      <w:r>
        <w:t xml:space="preserve">Offer tiered service packages to universities: "Research Accelerator" for faculty (includes manuscript editing + grant strategy) and "Innovation Bridge" for corporate R&amp;D teams.</w:t>
      </w:r>
    </w:p>
    <w:p>
      <w:pPr>
        <w:numPr>
          <w:ilvl w:val="0"/>
          <w:numId w:val="1005"/>
        </w:numPr>
        <w:pStyle w:val="Compact"/>
      </w:pPr>
      <w:r>
        <w:rPr>
          <w:bCs/>
          <w:b/>
        </w:rPr>
        <w:t xml:space="preserve">Testimonial Campaign:</w:t>
      </w:r>
      <w:r>
        <w:t xml:space="preserve"> </w:t>
      </w:r>
      <w:r>
        <w:t xml:space="preserve">Feature success stories from Emirati researchers at Khalifa University (e.g., Dr. Aisha Al Marri's 30% faster publication cycle using Academic Researcher services) with video testimonials in Arabic/English.</w:t>
      </w:r>
    </w:p>
    <w:p>
      <w:pPr>
        <w:pStyle w:val="FirstParagraph"/>
      </w:pPr>
      <w:r>
        <w:rPr>
          <w:iCs/>
          <w:i/>
        </w:rPr>
        <w:t xml:space="preserve">Phase 3: Retention (Q4)</w:t>
      </w:r>
    </w:p>
    <w:p>
      <w:pPr>
        <w:numPr>
          <w:ilvl w:val="0"/>
          <w:numId w:val="1006"/>
        </w:numPr>
        <w:pStyle w:val="Compact"/>
      </w:pPr>
      <w:r>
        <w:rPr>
          <w:bCs/>
          <w:b/>
        </w:rPr>
        <w:t xml:space="preserve">Cultural Loyalty Program:</w:t>
      </w:r>
      <w:r>
        <w:t xml:space="preserve"> </w:t>
      </w:r>
      <w:r>
        <w:t xml:space="preserve">"UAE Research Excellence Circle" offering exclusive access to Abu Dhabi government research funding briefings and annual awards ceremony at Louvre Abu Dhabi.</w:t>
      </w:r>
    </w:p>
    <w:p>
      <w:pPr>
        <w:numPr>
          <w:ilvl w:val="0"/>
          <w:numId w:val="1006"/>
        </w:numPr>
        <w:pStyle w:val="Compact"/>
      </w:pPr>
      <w:r>
        <w:rPr>
          <w:bCs/>
          <w:b/>
        </w:rPr>
        <w:t xml:space="preserve">AI-Powered Support Hub:</w:t>
      </w:r>
      <w:r>
        <w:t xml:space="preserve"> </w:t>
      </w:r>
      <w:r>
        <w:t xml:space="preserve">Launch an Arabic-English chatbot on UAE-based servers for instant research query resolution, compliant with Data Protection Law No. 4 of 2021.</w:t>
      </w:r>
    </w:p>
    <w:bookmarkEnd w:id="25"/>
    <w:bookmarkStart w:id="26"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 for Abu Dhabi Market</w:t>
      </w:r>
    </w:p>
    <w:p>
      <w:pPr>
        <w:pStyle w:val="BodyText"/>
      </w:pPr>
      <w:r>
        <w:t xml:space="preserve">Event Sponsorship (ADIRC, ADEC Summits)</w:t>
      </w:r>
    </w:p>
    <w:p>
      <w:pPr>
        <w:pStyle w:val="BodyText"/>
      </w:pPr>
      <w:r>
        <w:t xml:space="preserve">$45,000</w:t>
      </w:r>
    </w:p>
    <w:p>
      <w:pPr>
        <w:pStyle w:val="BodyText"/>
      </w:pPr>
      <w:r>
        <w:t xml:space="preserve">Necessary for credibility in Abu Dhabi's academic circles</w:t>
      </w:r>
    </w:p>
    <w:p>
      <w:pPr>
        <w:pStyle w:val="BodyText"/>
      </w:pPr>
      <w:r>
        <w:t xml:space="preserve">Bilingual Digital Marketing</w:t>
      </w:r>
    </w:p>
    <w:p>
      <w:pPr>
        <w:pStyle w:val="BodyText"/>
      </w:pPr>
      <w:r>
        <w:t xml:space="preserve">$60,000</w:t>
      </w:r>
    </w:p>
    <w:p>
      <w:pPr>
        <w:pStyle w:val="BodyText"/>
      </w:pPr>
      <w:r>
        <w:t xml:space="preserve">Arabic SEO dominates 89% of UAE research queries (Statista 2023)</w:t>
      </w:r>
    </w:p>
    <w:p>
      <w:pPr>
        <w:pStyle w:val="BodyText"/>
      </w:pPr>
      <w:r>
        <w:t xml:space="preserve">Cultural Training &amp; Compliance</w:t>
      </w:r>
    </w:p>
    <w:p>
      <w:pPr>
        <w:pStyle w:val="BodyText"/>
      </w:pPr>
      <w:r>
        <w:t xml:space="preserve">$35,000</w:t>
      </w:r>
    </w:p>
    <w:p>
      <w:pPr>
        <w:pStyle w:val="BodyText"/>
      </w:pPr>
      <w:r>
        <w:t xml:space="preserve">Mandatory for Abu Dhabi government contracts</w:t>
      </w:r>
    </w:p>
    <w:p>
      <w:pPr>
        <w:pStyle w:val="BodyText"/>
      </w:pPr>
      <w:r>
        <w:t xml:space="preserve">Client Loyalty Program Development</w:t>
      </w:r>
    </w:p>
    <w:p>
      <w:pPr>
        <w:pStyle w:val="BodyText"/>
      </w:pPr>
      <w:r>
        <w:t xml:space="preserve">$25,000</w:t>
      </w:r>
    </w:p>
    <w:p>
      <w:pPr>
        <w:pStyle w:val="BodyText"/>
      </w:pPr>
      <w:r>
        <w:rPr>
          <w:bCs/>
          <w:b/>
        </w:rPr>
        <w:t xml:space="preserve">Retaining clients in UAE's high-churn academic environment requires cultural investment.</w:t>
      </w:r>
    </w:p>
    <w:p>
      <w:pPr>
        <w:pStyle w:val="BodyText"/>
      </w:pPr>
      <w:r>
        <w:t xml:space="preserve">Contingency (Regulatory Changes)</w:t>
      </w:r>
    </w:p>
    <w:p>
      <w:pPr>
        <w:pStyle w:val="BodyText"/>
      </w:pPr>
      <w:r>
        <w:t xml:space="preserve">$20,000</w:t>
      </w:r>
    </w:p>
    <w:p>
      <w:pPr>
        <w:pStyle w:val="BodyText"/>
      </w:pPr>
      <w:r>
        <w:t xml:space="preserve">UAE policy shifts require agile budget allocation.</w:t>
      </w:r>
    </w:p>
    <w:bookmarkEnd w:id="26"/>
    <w:bookmarkStart w:id="27" w:name="evaluation-metrics"/>
    <w:p>
      <w:pPr>
        <w:pStyle w:val="Heading2"/>
      </w:pPr>
      <w:r>
        <w:t xml:space="preserve">Evaluation Metrics</w:t>
      </w:r>
    </w:p>
    <w:p>
      <w:pPr>
        <w:pStyle w:val="FirstParagraph"/>
      </w:pPr>
      <w:r>
        <w:t xml:space="preserve">Success will be measured through Abu Dhabi-specific KPIs:</w:t>
      </w:r>
    </w:p>
    <w:p>
      <w:pPr>
        <w:numPr>
          <w:ilvl w:val="0"/>
          <w:numId w:val="1007"/>
        </w:numPr>
        <w:pStyle w:val="Compact"/>
      </w:pPr>
      <w:r>
        <w:rPr>
          <w:bCs/>
          <w:b/>
        </w:rPr>
        <w:t xml:space="preserve">Cultural Relevance Score:</w:t>
      </w:r>
      <w:r>
        <w:t xml:space="preserve"> </w:t>
      </w:r>
      <w:r>
        <w:t xml:space="preserve">4.5/5 minimum from client surveys on Arabic communication and Emirati protocol adherence.</w:t>
      </w:r>
    </w:p>
    <w:p>
      <w:pPr>
        <w:numPr>
          <w:ilvl w:val="0"/>
          <w:numId w:val="1007"/>
        </w:numPr>
        <w:pStyle w:val="Compact"/>
      </w:pPr>
      <w:r>
        <w:rPr>
          <w:bCs/>
          <w:b/>
        </w:rPr>
        <w:t xml:space="preserve">Government Partnership Rate:</w:t>
      </w:r>
      <w:r>
        <w:t xml:space="preserve"> </w:t>
      </w:r>
      <w:r>
        <w:t xml:space="preserve">Achieve 2+ formal MOUs with Abu Dhabi entities (e.g., Tawazun Council) by Q3 2025.</w:t>
      </w:r>
    </w:p>
    <w:p>
      <w:pPr>
        <w:numPr>
          <w:ilvl w:val="0"/>
          <w:numId w:val="1007"/>
        </w:numPr>
        <w:pStyle w:val="Compact"/>
      </w:pPr>
      <w:r>
        <w:rPr>
          <w:bCs/>
          <w:b/>
        </w:rPr>
        <w:t xml:space="preserve">Publication Impact:</w:t>
      </w:r>
      <w:r>
        <w:t xml:space="preserve"> </w:t>
      </w:r>
      <w:r>
        <w:t xml:space="preserve">Track % of client publications in Scopus-indexed journals within UAE's target research areas (AI, renewable energy).</w:t>
      </w:r>
    </w:p>
    <w:bookmarkEnd w:id="27"/>
    <w:bookmarkStart w:id="28" w:name="conclusion-the-abu-dhabi-advantage"/>
    <w:p>
      <w:pPr>
        <w:pStyle w:val="Heading2"/>
      </w:pPr>
      <w:r>
        <w:t xml:space="preserve">Conclusion: The Abu Dhabi Advantage</w:t>
      </w:r>
    </w:p>
    <w:p>
      <w:pPr>
        <w:pStyle w:val="FirstParagraph"/>
      </w:pPr>
      <w:r>
        <w:t xml:space="preserve">This Marketing Plan positions the Academic Researcher not merely as a service provider but as an indispensable partner in Abu Dhabi's knowledge economy. By embedding cultural intelligence into every facet of delivery—from Arabic-first communications to compliance with UAE research governance—we transform traditional academic support into a catalyst for sustainable growth aligned with the United Arab Emirates' strategic vision. The plan ensures that every initiative directly serves Abu Dhabi's dual mission: advancing local scholarly excellence while contributing to the global research community through uniquely Emirati insights. As Abu Dhabi continues its transformation into a top 10 research destination globally, this Marketing Plan secures the Academic Researcher's role as the trusted partner for researchers navigating this dynamic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Abu Dhabi</dc:title>
  <dc:creator/>
  <dc:language>en</dc:language>
  <cp:keywords/>
  <dcterms:created xsi:type="dcterms:W3CDTF">2026-07-24T00:30:48Z</dcterms:created>
  <dcterms:modified xsi:type="dcterms:W3CDTF">2026-07-24T00:30:48Z</dcterms:modified>
</cp:coreProperties>
</file>

<file path=docProps/custom.xml><?xml version="1.0" encoding="utf-8"?>
<Properties xmlns="http://schemas.openxmlformats.org/officeDocument/2006/custom-properties" xmlns:vt="http://schemas.openxmlformats.org/officeDocument/2006/docPropsVTypes"/>
</file>