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1ab47d47bedcdbb37ebfc4a2178a25e52aedc6d"/>
    <w:p>
      <w:pPr>
        <w:pStyle w:val="Heading1"/>
      </w:pPr>
      <w:r>
        <w:t xml:space="preserve">Comprehensive Marketing Plan: Attracting Elite Academic Researchers to United Arab Emirates Dubai</w:t>
      </w:r>
    </w:p>
    <w:bookmarkStart w:id="20" w:name="executive-summary"/>
    <w:p>
      <w:pPr>
        <w:pStyle w:val="Heading2"/>
      </w:pPr>
      <w:r>
        <w:t xml:space="preserve">Executive Summary</w:t>
      </w:r>
    </w:p>
    <w:p>
      <w:pPr>
        <w:pStyle w:val="FirstParagraph"/>
      </w:pPr>
      <w:r>
        <w:t xml:space="preserve">This Marketing Plan outlines a strategic framework to position Dubai, United Arab Emirates as the premier destination for global Academic Researchers. By leveraging Dubai's world-class infrastructure, tax-free environment, and ambitious research initiatives under Vision 2030, this plan targets top-tier scholars across STEM, health sciences, and social innovation. The primary objective is to increase high-impact Academic Researcher recruitment by 40% within three years through a differentiated value proposition aligned with Dubai's strategic priorities. This Marketing Plan directly addresses the UAE's national goal of becoming a global research hub while delivering measurable ROI for institutions.</w:t>
      </w:r>
    </w:p>
    <w:bookmarkEnd w:id="20"/>
    <w:bookmarkStart w:id="21" w:name="situation-analysis"/>
    <w:p>
      <w:pPr>
        <w:pStyle w:val="Heading2"/>
      </w:pPr>
      <w:r>
        <w:t xml:space="preserve">Situation Analysis</w:t>
      </w:r>
    </w:p>
    <w:p>
      <w:pPr>
        <w:pStyle w:val="FirstParagraph"/>
      </w:pPr>
      <w:r>
        <w:t xml:space="preserve">Dubai, United Arab Emirates presents an unprecedented opportunity to attract Academic Researchers due to its status as a cosmopolitan business hub with 50+ international universities and $10B+ annual research investment. However, existing recruitment efforts face challenges: 68% of global researchers cite insufficient career advancement pathways (Nature Index 2023), while competing hubs like Singapore offer similar incentives. Our analysis reveals Dubai's unique advantage lies in its strategic location bridging East-West markets and government-backed initiatives like the Dubai Research, Development and Innovation Strategy. This Marketing Plan capitalizes on these differentiators to position the United Arab Emirates Dubai ecosystem as unmatched for Academic Researchers seeking both professional growth and quality of life.</w:t>
      </w:r>
    </w:p>
    <w:bookmarkEnd w:id="21"/>
    <w:bookmarkStart w:id="22" w:name="target-audience-segmentation"/>
    <w:p>
      <w:pPr>
        <w:pStyle w:val="Heading2"/>
      </w:pPr>
      <w:r>
        <w:t xml:space="preserve">Target Audience Segmentation</w:t>
      </w:r>
    </w:p>
    <w:p>
      <w:pPr>
        <w:pStyle w:val="FirstParagraph"/>
      </w:pPr>
      <w:r>
        <w:t xml:space="preserve">The primary target consists of early-to-mid-career Academic Researchers (PhD + 3-10 years experience) in high-demand fields: AI/ML, sustainable energy, biomedical engineering, and neuroscience. Secondary segments include Nobel laureates seeking legacy-building opportunities and interdisciplinary research teams from EU/US institutions. All prospects prioritize:</w:t>
      </w:r>
    </w:p>
    <w:p>
      <w:pPr>
        <w:numPr>
          <w:ilvl w:val="0"/>
          <w:numId w:val="1001"/>
        </w:numPr>
        <w:pStyle w:val="Compact"/>
      </w:pPr>
      <w:r>
        <w:t xml:space="preserve">Competitive compensation (tax-free salary + housing allowance)</w:t>
      </w:r>
    </w:p>
    <w:p>
      <w:pPr>
        <w:numPr>
          <w:ilvl w:val="0"/>
          <w:numId w:val="1001"/>
        </w:numPr>
        <w:pStyle w:val="Compact"/>
      </w:pPr>
      <w:r>
        <w:t xml:space="preserve">Cutting-edge research infrastructure</w:t>
      </w:r>
    </w:p>
    <w:p>
      <w:pPr>
        <w:numPr>
          <w:ilvl w:val="0"/>
          <w:numId w:val="1001"/>
        </w:numPr>
        <w:pStyle w:val="Compact"/>
      </w:pPr>
      <w:r>
        <w:t xml:space="preserve">International collaboration networks</w:t>
      </w:r>
    </w:p>
    <w:p>
      <w:pPr>
        <w:numPr>
          <w:ilvl w:val="0"/>
          <w:numId w:val="1001"/>
        </w:numPr>
        <w:pStyle w:val="Compact"/>
      </w:pPr>
      <w:r>
        <w:t xml:space="preserve">Family-friendly environment in United Arab Emirates Dubai</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Recruitment:</w:t>
      </w:r>
      <w:r>
        <w:t xml:space="preserve"> </w:t>
      </w:r>
      <w:r>
        <w:t xml:space="preserve">Attract 500+ Academic Researchers annually to Dubai-based institutions by Year 3.</w:t>
      </w:r>
    </w:p>
    <w:p>
      <w:pPr>
        <w:numPr>
          <w:ilvl w:val="0"/>
          <w:numId w:val="1002"/>
        </w:numPr>
        <w:pStyle w:val="Compact"/>
      </w:pPr>
      <w:r>
        <w:rPr>
          <w:bCs/>
          <w:b/>
        </w:rPr>
        <w:t xml:space="preserve">Brand Perception:</w:t>
      </w:r>
      <w:r>
        <w:t xml:space="preserve"> </w:t>
      </w:r>
      <w:r>
        <w:t xml:space="preserve">Achieve 85% recognition as "Top Destination for Academic Researchers" in Middle East/North Africa region.</w:t>
      </w:r>
    </w:p>
    <w:p>
      <w:pPr>
        <w:numPr>
          <w:ilvl w:val="0"/>
          <w:numId w:val="1002"/>
        </w:numPr>
        <w:pStyle w:val="Compact"/>
      </w:pPr>
      <w:r>
        <w:rPr>
          <w:bCs/>
          <w:b/>
        </w:rPr>
        <w:t xml:space="preserve">Career Growth:</w:t>
      </w:r>
      <w:r>
        <w:t xml:space="preserve"> </w:t>
      </w:r>
      <w:r>
        <w:t xml:space="preserve">Increase retention rate of Academic Researchers to 90% through tailored development pathways.</w:t>
      </w:r>
    </w:p>
    <w:bookmarkEnd w:id="23"/>
    <w:bookmarkStart w:id="28" w:name="strategic-marketing-mix-4ps"/>
    <w:p>
      <w:pPr>
        <w:pStyle w:val="Heading2"/>
      </w:pPr>
      <w:r>
        <w:t xml:space="preserve">Strategic Marketing Mix (4Ps)</w:t>
      </w:r>
    </w:p>
    <w:bookmarkStart w:id="24" w:name="product-the-dubai-research-ecosystem"/>
    <w:p>
      <w:pPr>
        <w:pStyle w:val="Heading3"/>
      </w:pPr>
      <w:r>
        <w:t xml:space="preserve">Product: The Dubai Research Ecosystem</w:t>
      </w:r>
    </w:p>
    <w:p>
      <w:pPr>
        <w:pStyle w:val="FirstParagraph"/>
      </w:pPr>
      <w:r>
        <w:t xml:space="preserve">We position Dubai not as a location but as an integrated research platform. Key offerings include:</w:t>
      </w:r>
    </w:p>
    <w:p>
      <w:pPr>
        <w:numPr>
          <w:ilvl w:val="0"/>
          <w:numId w:val="1003"/>
        </w:numPr>
        <w:pStyle w:val="Compact"/>
      </w:pPr>
      <w:r>
        <w:rPr>
          <w:bCs/>
          <w:b/>
        </w:rPr>
        <w:t xml:space="preserve">Nexus Research Centers:</w:t>
      </w:r>
      <w:r>
        <w:t xml:space="preserve"> </w:t>
      </w:r>
      <w:r>
        <w:t xml:space="preserve">State-of-the-art facilities co-located with industry partners (e.g., Dubai Silicon Oasis, TIER 1 AI Lab)</w:t>
      </w:r>
    </w:p>
    <w:p>
      <w:pPr>
        <w:numPr>
          <w:ilvl w:val="0"/>
          <w:numId w:val="1003"/>
        </w:numPr>
        <w:pStyle w:val="Compact"/>
      </w:pPr>
      <w:r>
        <w:rPr>
          <w:bCs/>
          <w:b/>
        </w:rPr>
        <w:t xml:space="preserve">Acceleration Programs:</w:t>
      </w:r>
      <w:r>
        <w:t xml:space="preserve"> </w:t>
      </w:r>
      <w:r>
        <w:t xml:space="preserve">Fast-tracked grant access ($500K+ seed funding) and patent commercialization support</w:t>
      </w:r>
    </w:p>
    <w:p>
      <w:pPr>
        <w:numPr>
          <w:ilvl w:val="0"/>
          <w:numId w:val="1003"/>
        </w:numPr>
        <w:pStyle w:val="Compact"/>
      </w:pPr>
      <w:r>
        <w:rPr>
          <w:bCs/>
          <w:b/>
        </w:rPr>
        <w:t xml:space="preserve">Cultural Integration:</w:t>
      </w:r>
      <w:r>
        <w:t xml:space="preserve"> </w:t>
      </w:r>
      <w:r>
        <w:t xml:space="preserve">Dedicated expatriate relocation services including visa processing and Emirati cultural immersion</w:t>
      </w:r>
    </w:p>
    <w:bookmarkEnd w:id="24"/>
    <w:bookmarkStart w:id="25" w:name="X6e1418fd3c2d062a4cdbf3897ea341fb5e171e9"/>
    <w:p>
      <w:pPr>
        <w:pStyle w:val="Heading3"/>
      </w:pPr>
      <w:r>
        <w:t xml:space="preserve">Pricing: Value-Based Compensation Structure</w:t>
      </w:r>
    </w:p>
    <w:p>
      <w:pPr>
        <w:pStyle w:val="FirstParagraph"/>
      </w:pPr>
      <w:r>
        <w:t xml:space="preserve">Moving beyond basic salaries, we implement a tiered compensation model for Academic Researchers:</w:t>
      </w:r>
    </w:p>
    <w:p>
      <w:pPr>
        <w:numPr>
          <w:ilvl w:val="0"/>
          <w:numId w:val="1004"/>
        </w:numPr>
        <w:pStyle w:val="Compact"/>
      </w:pPr>
      <w:r>
        <w:t xml:space="preserve">Base Salary: 20-40% above global benchmarks (e.g., $180K-$250K USD for senior roles)</w:t>
      </w:r>
    </w:p>
    <w:p>
      <w:pPr>
        <w:numPr>
          <w:ilvl w:val="0"/>
          <w:numId w:val="1004"/>
        </w:numPr>
        <w:pStyle w:val="Compact"/>
      </w:pPr>
      <w:r>
        <w:t xml:space="preserve">Research Budgets: Minimum $350K annual operational funding</w:t>
      </w:r>
    </w:p>
    <w:p>
      <w:pPr>
        <w:numPr>
          <w:ilvl w:val="0"/>
          <w:numId w:val="1004"/>
        </w:numPr>
        <w:pStyle w:val="Compact"/>
      </w:pPr>
      <w:r>
        <w:t xml:space="preserve">Perquisites: Premium housing allowance, education stipend for children, and wellness packages</w:t>
      </w:r>
    </w:p>
    <w:p>
      <w:pPr>
        <w:pStyle w:val="FirstParagraph"/>
      </w:pPr>
      <w:r>
        <w:t xml:space="preserve">This pricing strategy reflects Dubai's cost structure while delivering superior net compensation versus competitors like Qatar or Abu Dhabi.</w:t>
      </w:r>
    </w:p>
    <w:bookmarkEnd w:id="25"/>
    <w:bookmarkStart w:id="26" w:name="Xbdfaca0c22e5d8b119762e849dc05bd3de45ddf"/>
    <w:p>
      <w:pPr>
        <w:pStyle w:val="Heading3"/>
      </w:pPr>
      <w:r>
        <w:t xml:space="preserve">Place: Digital-Physical Recruitment Ecosystem</w:t>
      </w:r>
    </w:p>
    <w:p>
      <w:pPr>
        <w:pStyle w:val="FirstParagraph"/>
      </w:pPr>
      <w:r>
        <w:t xml:space="preserve">A multi-channel approach ensures seamless engagement:</w:t>
      </w:r>
    </w:p>
    <w:p>
      <w:pPr>
        <w:numPr>
          <w:ilvl w:val="0"/>
          <w:numId w:val="1005"/>
        </w:numPr>
        <w:pStyle w:val="Compact"/>
      </w:pPr>
      <w:r>
        <w:rPr>
          <w:bCs/>
          <w:b/>
        </w:rPr>
        <w:t xml:space="preserve">Virtual Gateway:</w:t>
      </w:r>
      <w:r>
        <w:t xml:space="preserve"> </w:t>
      </w:r>
      <w:r>
        <w:t xml:space="preserve">Dedicated Dubai Academic Researcher Portal featuring AI-matched opportunities, virtual lab tours, and real-time visa status tracking.</w:t>
      </w:r>
    </w:p>
    <w:p>
      <w:pPr>
        <w:numPr>
          <w:ilvl w:val="0"/>
          <w:numId w:val="1005"/>
        </w:numPr>
        <w:pStyle w:val="Compact"/>
      </w:pPr>
      <w:r>
        <w:rPr>
          <w:bCs/>
          <w:b/>
        </w:rPr>
        <w:t xml:space="preserve">Precision Events:</w:t>
      </w:r>
      <w:r>
        <w:t xml:space="preserve"> </w:t>
      </w:r>
      <w:r>
        <w:t xml:space="preserve">Targeted participation in 15+ global conferences (e.g., IEEE, ASCB) with exclusive "Dubai Research Days" at key venues.</w:t>
      </w:r>
    </w:p>
    <w:p>
      <w:pPr>
        <w:numPr>
          <w:ilvl w:val="0"/>
          <w:numId w:val="1005"/>
        </w:numPr>
        <w:pStyle w:val="Compact"/>
      </w:pPr>
      <w:r>
        <w:rPr>
          <w:bCs/>
          <w:b/>
        </w:rPr>
        <w:t xml:space="preserve">Strategic Partnerships:</w:t>
      </w:r>
      <w:r>
        <w:t xml:space="preserve"> </w:t>
      </w:r>
      <w:r>
        <w:t xml:space="preserve">Co-branded recruitment drives with top 50 global universities and research networks (e.g., Nature Careers).</w:t>
      </w:r>
    </w:p>
    <w:bookmarkEnd w:id="26"/>
    <w:bookmarkStart w:id="27" w:name="promotion-narrative-driven-campaigns"/>
    <w:p>
      <w:pPr>
        <w:pStyle w:val="Heading3"/>
      </w:pPr>
      <w:r>
        <w:t xml:space="preserve">Promotion: Narrative-Driven Campaigns</w:t>
      </w:r>
    </w:p>
    <w:p>
      <w:pPr>
        <w:pStyle w:val="FirstParagraph"/>
      </w:pPr>
      <w:r>
        <w:t xml:space="preserve">We deploy three interconnected campaigns centered on the Academic Researcher experience in Dubai:</w:t>
      </w:r>
    </w:p>
    <w:p>
      <w:pPr>
        <w:numPr>
          <w:ilvl w:val="0"/>
          <w:numId w:val="1006"/>
        </w:numPr>
        <w:pStyle w:val="Compact"/>
      </w:pPr>
      <w:r>
        <w:rPr>
          <w:bCs/>
          <w:b/>
        </w:rPr>
        <w:t xml:space="preserve">Impact Stories:</w:t>
      </w:r>
      <w:r>
        <w:t xml:space="preserve"> </w:t>
      </w:r>
      <w:r>
        <w:t xml:space="preserve">Video series featuring current Academic Researchers' breakthroughs (e.g., "From Dubai Lab to Global Health Impact") distributed via LinkedIn and academic journals.</w:t>
      </w:r>
    </w:p>
    <w:p>
      <w:pPr>
        <w:numPr>
          <w:ilvl w:val="0"/>
          <w:numId w:val="1006"/>
        </w:numPr>
        <w:pStyle w:val="Compact"/>
      </w:pPr>
      <w:r>
        <w:rPr>
          <w:bCs/>
          <w:b/>
        </w:rPr>
        <w:t xml:space="preserve">Career Accelerator Series:</w:t>
      </w:r>
      <w:r>
        <w:t xml:space="preserve"> </w:t>
      </w:r>
      <w:r>
        <w:t xml:space="preserve">Webinars with Dubai government leaders discussing research-to-market pathways in United Arab Emirates Dubai.</w:t>
      </w:r>
    </w:p>
    <w:p>
      <w:pPr>
        <w:numPr>
          <w:ilvl w:val="0"/>
          <w:numId w:val="1006"/>
        </w:numPr>
        <w:pStyle w:val="Compact"/>
      </w:pPr>
      <w:r>
        <w:rPr>
          <w:bCs/>
          <w:b/>
        </w:rPr>
        <w:t xml:space="preserve">Community Building:</w:t>
      </w:r>
      <w:r>
        <w:t xml:space="preserve"> </w:t>
      </w:r>
      <w:r>
        <w:t xml:space="preserve">Exclusive Academic Researcher Summit held annually at Dubai Knowledge Park, fostering peer networks and funding opportunities.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Landscape analysis; Website relaunch with AI recruitment assistant; Partnership agreements with 3 top universities.</w:t>
      </w:r>
    </w:p>
    <w:p>
      <w:pPr>
        <w:pStyle w:val="BodyText"/>
      </w:pPr>
      <w:r>
        <w:t xml:space="preserve">Q3 2024</w:t>
      </w:r>
    </w:p>
    <w:p>
      <w:pPr>
        <w:pStyle w:val="BodyText"/>
      </w:pPr>
      <w:r>
        <w:t xml:space="preserve">Launch "Dubai Research Impact" campaign at CES Conference</w:t>
      </w:r>
    </w:p>
    <w:p>
      <w:pPr>
        <w:pStyle w:val="BodyText"/>
      </w:pPr>
      <w:r>
        <w:t xml:space="preserve">Q1 2025</w:t>
      </w:r>
    </w:p>
    <w:p>
      <w:pPr>
        <w:pStyle w:val="BodyText"/>
      </w:pPr>
      <w:r>
        <w:t xml:space="preserve">Host first Academic Researcher Summit in Dubai; Implement retention analytics dashboard.</w:t>
      </w:r>
    </w:p>
    <w:bookmarkEnd w:id="29"/>
    <w:bookmarkStart w:id="30" w:name="budget-allocation-1.8m-total"/>
    <w:p>
      <w:pPr>
        <w:pStyle w:val="Heading2"/>
      </w:pPr>
      <w:r>
        <w:t xml:space="preserve">Budget Allocation ($1.8M Total)</w:t>
      </w:r>
    </w:p>
    <w:p>
      <w:pPr>
        <w:numPr>
          <w:ilvl w:val="0"/>
          <w:numId w:val="1007"/>
        </w:numPr>
        <w:pStyle w:val="Compact"/>
      </w:pPr>
      <w:r>
        <w:t xml:space="preserve">Digital Marketing (45%): $810,000 for SEO/SEM targeting Academic Researcher keywords and virtual event platforms</w:t>
      </w:r>
    </w:p>
    <w:p>
      <w:pPr>
        <w:numPr>
          <w:ilvl w:val="0"/>
          <w:numId w:val="1007"/>
        </w:numPr>
        <w:pStyle w:val="Compact"/>
      </w:pPr>
      <w:r>
        <w:t xml:space="preserve">Event Marketing (35%): $630,000 for global conference activations and Summit production</w:t>
      </w:r>
    </w:p>
    <w:p>
      <w:pPr>
        <w:numPr>
          <w:ilvl w:val="0"/>
          <w:numId w:val="1007"/>
        </w:numPr>
        <w:pStyle w:val="Compact"/>
      </w:pPr>
      <w:r>
        <w:t xml:space="preserve">Content Development (15%): $270,000 for impact stories, webinars, and recruitment materials</w:t>
      </w:r>
    </w:p>
    <w:p>
      <w:pPr>
        <w:numPr>
          <w:ilvl w:val="0"/>
          <w:numId w:val="1007"/>
        </w:numPr>
        <w:pStyle w:val="Compact"/>
      </w:pPr>
      <w:r>
        <w:t xml:space="preserve">Evaluation (5%): $90,000 for analytics and ROI tracking against objectives</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Application volume, conversion rates, retention metrics (tracked via Dubai Research Talent Platform)</w:t>
      </w:r>
    </w:p>
    <w:p>
      <w:pPr>
        <w:numPr>
          <w:ilvl w:val="0"/>
          <w:numId w:val="1008"/>
        </w:numPr>
        <w:pStyle w:val="Compact"/>
      </w:pPr>
      <w:r>
        <w:rPr>
          <w:bCs/>
          <w:b/>
        </w:rPr>
        <w:t xml:space="preserve">Qualitative:</w:t>
      </w:r>
      <w:r>
        <w:t xml:space="preserve"> </w:t>
      </w:r>
      <w:r>
        <w:t xml:space="preserve">Annual researcher satisfaction surveys measuring "quality of life" and "career growth" (target: 90% positive feedback)</w:t>
      </w:r>
    </w:p>
    <w:p>
      <w:pPr>
        <w:numPr>
          <w:ilvl w:val="0"/>
          <w:numId w:val="1008"/>
        </w:numPr>
        <w:pStyle w:val="Compact"/>
      </w:pPr>
      <w:r>
        <w:rPr>
          <w:bCs/>
          <w:b/>
        </w:rPr>
        <w:t xml:space="preserve">National Impact:</w:t>
      </w:r>
      <w:r>
        <w:t xml:space="preserve"> </w:t>
      </w:r>
      <w:r>
        <w:t xml:space="preserve">Tracking UAE's ranking in Global Innovation Index, directly tied to Academic Researcher influx</w:t>
      </w:r>
    </w:p>
    <w:bookmarkEnd w:id="31"/>
    <w:bookmarkStart w:id="32" w:name="conclusion"/>
    <w:p>
      <w:pPr>
        <w:pStyle w:val="Heading2"/>
      </w:pPr>
      <w:r>
        <w:t xml:space="preserve">Conclusion</w:t>
      </w:r>
    </w:p>
    <w:p>
      <w:pPr>
        <w:pStyle w:val="FirstParagraph"/>
      </w:pPr>
      <w:r>
        <w:t xml:space="preserve">This Marketing Plan establishes Dubai as the strategic epicenter for Academic Researchers seeking transformative opportunities. By aligning institutional incentives with researcher aspirations within the dynamic United Arab Emirates Dubai ecosystem, we create a self-reinforcing cycle of talent attraction and innovation output. The plan's success will directly advance UAE's national ambition to become a global knowledge hub while delivering exceptional value to every Academic Researcher recruited. As this Marketing Plan demonstrates, Dubai isn't just another destination – it's where the next generation of Academic Researchers builds their legacy, supported by a nation committed to research excellence.</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Recruitment in United Arab Emirates Dubai</dc:title>
  <dc:creator/>
  <dc:language>en</dc:language>
  <cp:keywords/>
  <dcterms:created xsi:type="dcterms:W3CDTF">2026-07-25T04:11:03Z</dcterms:created>
  <dcterms:modified xsi:type="dcterms:W3CDTF">2026-07-25T04:11:03Z</dcterms:modified>
</cp:coreProperties>
</file>

<file path=docProps/custom.xml><?xml version="1.0" encoding="utf-8"?>
<Properties xmlns="http://schemas.openxmlformats.org/officeDocument/2006/custom-properties" xmlns:vt="http://schemas.openxmlformats.org/officeDocument/2006/docPropsVTypes"/>
</file>