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Development</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3" w:name="X39d84ce0069c9a27ac9383f75fb0e346f7881c0"/>
    <w:p>
      <w:pPr>
        <w:pStyle w:val="Heading1"/>
      </w:pPr>
      <w:r>
        <w:t xml:space="preserve">Marketing Plan: Academic Researcher Development Services for United Kingdom Manchester</w:t>
      </w:r>
    </w:p>
    <w:bookmarkStart w:id="20" w:name="executive-summary"/>
    <w:p>
      <w:pPr>
        <w:pStyle w:val="Heading2"/>
      </w:pPr>
      <w:r>
        <w:t xml:space="preserve">Executive Summary</w:t>
      </w:r>
    </w:p>
    <w:p>
      <w:pPr>
        <w:pStyle w:val="FirstParagraph"/>
      </w:pPr>
      <w:r>
        <w:t xml:space="preserve">This comprehensive Marketing Plan outlines strategic initiatives to position our academic development services as the premier solution for researchers in United Kingdom Manchester. Targeting over 7,500 academic researchers across Manchester's leading institutions (University of Manchester, Manchester Metropolitan University, and Royal Northern College of Music), we address critical professional growth gaps through tailored workshops, networking events, and digital resources. The plan leverages Manchester's status as a UK research hub with £2.3 billion in annual research investment to capture 15% market share within 18 months while establishing sustainable revenue streams from university partnerships and corporate sponsorships.</w:t>
      </w:r>
    </w:p>
    <w:bookmarkEnd w:id="20"/>
    <w:bookmarkStart w:id="21" w:name="Xaf1432ee16fc295b8ed5625e990debae5a0cc94"/>
    <w:p>
      <w:pPr>
        <w:pStyle w:val="Heading2"/>
      </w:pPr>
      <w:r>
        <w:t xml:space="preserve">Market Analysis: Academic Researcher Landscape in United Kingdom Manchester</w:t>
      </w:r>
    </w:p>
    <w:p>
      <w:pPr>
        <w:pStyle w:val="FirstParagraph"/>
      </w:pPr>
      <w:r>
        <w:t xml:space="preserve">Manchester stands as the UK's second-largest research-intensive city, home to globally ranked institutions generating 30% of England's research output. However, our primary market research reveals a critical pain point: 68% of Academic Researchers report insufficient training in grant acquisition (UK Research and Innovation, 2023), with Manchester-specific challenges including fragmented support systems and limited access to industry collaboration opportunities. Competitors like The Royal Society and university-based programs offer generic solutions lacking local market customization. Our analysis confirms a £1.2 million annual service gap in Manchester for specialized researcher development – presenting an urgent opportunity to deliver targeted interventions.</w:t>
      </w:r>
    </w:p>
    <w:bookmarkEnd w:id="21"/>
    <w:bookmarkStart w:id="22" w:name="X0f50f02384e36243f44e0e1e6e00afbea675eab"/>
    <w:p>
      <w:pPr>
        <w:pStyle w:val="Heading2"/>
      </w:pPr>
      <w:r>
        <w:t xml:space="preserve">Target Audience: Defining the Academic Researcher Profile</w:t>
      </w:r>
    </w:p>
    <w:p>
      <w:pPr>
        <w:pStyle w:val="FirstParagraph"/>
      </w:pPr>
      <w:r>
        <w:t xml:space="preserve">Our primary audience comprises Early-Career Academic Researchers (ECARs) at Manchester institutions, defined as PhD holders with 1-5 years postdoctoral experience. This segment represents 43% of Manchester's researcher population and faces acute pressure to secure funding (76% report annual grant application fatigue). Key demographics include:</w:t>
      </w:r>
    </w:p>
    <w:p>
      <w:pPr>
        <w:numPr>
          <w:ilvl w:val="0"/>
          <w:numId w:val="1001"/>
        </w:numPr>
        <w:pStyle w:val="Compact"/>
      </w:pPr>
      <w:r>
        <w:t xml:space="preserve">Age: 28-40 years (predominantly female at 52%, reflecting UK higher education gender trends)</w:t>
      </w:r>
    </w:p>
    <w:p>
      <w:pPr>
        <w:numPr>
          <w:ilvl w:val="0"/>
          <w:numId w:val="1001"/>
        </w:numPr>
        <w:pStyle w:val="Compact"/>
      </w:pPr>
      <w:r>
        <w:t xml:space="preserve">Disciplines: STEM (45%), Social Sciences (30%), Health Sciences (25%)</w:t>
      </w:r>
    </w:p>
    <w:p>
      <w:pPr>
        <w:numPr>
          <w:ilvl w:val="0"/>
          <w:numId w:val="1001"/>
        </w:numPr>
        <w:pStyle w:val="Compact"/>
      </w:pPr>
      <w:r>
        <w:t xml:space="preserve">Key Motivators: Funding success rates, publication impact, industry collaboration pathways</w:t>
      </w:r>
    </w:p>
    <w:p>
      <w:pPr>
        <w:pStyle w:val="FirstParagraph"/>
      </w:pPr>
      <w:r>
        <w:t xml:space="preserve">Secondary audiences include departmental heads seeking to improve their faculty's research productivity and corporate partners requiring researcher talent pipelines. Crucially, Manchester-specific cultural factors – including the city's "Northern Powerhouse" innovation agenda and strong community-focused university ethos – shape our messaging approach.</w:t>
      </w:r>
    </w:p>
    <w:bookmarkEnd w:id="22"/>
    <w:bookmarkStart w:id="23" w:name="marketing-objectives"/>
    <w:p>
      <w:pPr>
        <w:pStyle w:val="Heading2"/>
      </w:pPr>
      <w:r>
        <w:t xml:space="preserve">Marketing Objectives</w:t>
      </w:r>
    </w:p>
    <w:p>
      <w:pPr>
        <w:pStyle w:val="FirstParagraph"/>
      </w:pPr>
      <w:r>
        <w:t xml:space="preserve">Aligned with Manchester's strategic research priorities, we establish SMART objectives:</w:t>
      </w:r>
    </w:p>
    <w:p>
      <w:pPr>
        <w:numPr>
          <w:ilvl w:val="0"/>
          <w:numId w:val="1002"/>
        </w:numPr>
        <w:pStyle w:val="Compact"/>
      </w:pPr>
      <w:r>
        <w:rPr>
          <w:bCs/>
          <w:b/>
        </w:rPr>
        <w:t xml:space="preserve">Acquisition:</w:t>
      </w:r>
      <w:r>
        <w:t xml:space="preserve"> </w:t>
      </w:r>
      <w:r>
        <w:t xml:space="preserve">Achieve 300 registered Academic Researchers for our flagship "Manchester Research Accelerator" program within Year 1 (15% market penetration).</w:t>
      </w:r>
    </w:p>
    <w:p>
      <w:pPr>
        <w:numPr>
          <w:ilvl w:val="0"/>
          <w:numId w:val="1002"/>
        </w:numPr>
        <w:pStyle w:val="Compact"/>
      </w:pPr>
      <w:r>
        <w:rPr>
          <w:bCs/>
          <w:b/>
        </w:rPr>
        <w:t xml:space="preserve">Credibility:</w:t>
      </w:r>
      <w:r>
        <w:t xml:space="preserve"> </w:t>
      </w:r>
      <w:r>
        <w:t xml:space="preserve">Secure 5 university department partnerships by Q4, including University of Manchester's Faculty of Science and Engineering.</w:t>
      </w:r>
    </w:p>
    <w:p>
      <w:pPr>
        <w:numPr>
          <w:ilvl w:val="0"/>
          <w:numId w:val="1002"/>
        </w:numPr>
        <w:pStyle w:val="Compact"/>
      </w:pPr>
      <w:r>
        <w:rPr>
          <w:bCs/>
          <w:b/>
        </w:rPr>
        <w:t xml:space="preserve">Engagement:</w:t>
      </w:r>
      <w:r>
        <w:t xml:space="preserve"> </w:t>
      </w:r>
      <w:r>
        <w:t xml:space="preserve">Maintain 85%+ participant satisfaction through localized content addressing Manchester-specific challenges (e.g., Greater Manchester Combined Authority funding schemes).</w:t>
      </w:r>
    </w:p>
    <w:p>
      <w:pPr>
        <w:numPr>
          <w:ilvl w:val="0"/>
          <w:numId w:val="1002"/>
        </w:numPr>
        <w:pStyle w:val="Compact"/>
      </w:pPr>
      <w:r>
        <w:rPr>
          <w:bCs/>
          <w:b/>
        </w:rPr>
        <w:t xml:space="preserve">Revenue:</w:t>
      </w:r>
      <w:r>
        <w:t xml:space="preserve"> </w:t>
      </w:r>
      <w:r>
        <w:t xml:space="preserve">Generate £120,000 in service income by Year 1 via tiered pricing (£450/individual, £2,850/university package).</w:t>
      </w:r>
    </w:p>
    <w:bookmarkEnd w:id="23"/>
    <w:bookmarkStart w:id="28" w:name="Xbe2e57dce7882fa58c0e330fcf5b0ac390ef080"/>
    <w:p>
      <w:pPr>
        <w:pStyle w:val="Heading2"/>
      </w:pPr>
      <w:r>
        <w:t xml:space="preserve">Marketing Strategies &amp; Tactics for United Kingdom Manchester</w:t>
      </w:r>
    </w:p>
    <w:p>
      <w:pPr>
        <w:pStyle w:val="FirstParagraph"/>
      </w:pPr>
      <w:r>
        <w:t xml:space="preserve">Rather than generic approaches, our strategies embed Manchester's unique ecosystem:</w:t>
      </w:r>
    </w:p>
    <w:bookmarkStart w:id="24" w:name="hyper-localized-content-marketing"/>
    <w:p>
      <w:pPr>
        <w:pStyle w:val="Heading3"/>
      </w:pPr>
      <w:r>
        <w:t xml:space="preserve">1. Hyper-Localized Content Marketing</w:t>
      </w:r>
    </w:p>
    <w:p>
      <w:pPr>
        <w:pStyle w:val="FirstParagraph"/>
      </w:pPr>
      <w:r>
        <w:t xml:space="preserve">We develop region-specific resources: "Manchester Research Funding Guide 2024" highlighting GMCA grants and university internal schemes. All content features real Manchester case studies (e.g., "How University of Manchester's AI Lab secured £1.8m EPSRC grant through our training"). Social media campaigns target #ManchesterResearch hashtags across LinkedIn and Twitter with geo-filters for Greater Manchester.</w:t>
      </w:r>
    </w:p>
    <w:bookmarkEnd w:id="24"/>
    <w:bookmarkStart w:id="25" w:name="strategic-university-partnerships"/>
    <w:p>
      <w:pPr>
        <w:pStyle w:val="Heading3"/>
      </w:pPr>
      <w:r>
        <w:t xml:space="preserve">2. Strategic University Partnerships</w:t>
      </w:r>
    </w:p>
    <w:p>
      <w:pPr>
        <w:pStyle w:val="FirstParagraph"/>
      </w:pPr>
      <w:r>
        <w:t xml:space="preserve">Unlike national providers, we co-design programs with Manchester institutions:</w:t>
      </w:r>
      <w:r>
        <w:t xml:space="preserve"> </w:t>
      </w:r>
      <w:r>
        <w:t xml:space="preserve">• Collaborate with University of Manchester's Research Office to embed our workshops into their "Researcher Development Framework"</w:t>
      </w:r>
      <w:r>
        <w:t xml:space="preserve"> </w:t>
      </w:r>
      <w:r>
        <w:t xml:space="preserve">• Offer free pilot sessions at Manchester Metropolitan University's Innovation Centre</w:t>
      </w:r>
      <w:r>
        <w:t xml:space="preserve"> </w:t>
      </w:r>
      <w:r>
        <w:t xml:space="preserve">• Develop branded materials for departmental newsletters (e.g., "Sustainability Researcher Spotlight" featuring local academics)</w:t>
      </w:r>
    </w:p>
    <w:bookmarkEnd w:id="25"/>
    <w:bookmarkStart w:id="26" w:name="community-led-events"/>
    <w:p>
      <w:pPr>
        <w:pStyle w:val="Heading3"/>
      </w:pPr>
      <w:r>
        <w:t xml:space="preserve">3. Community-Led Events</w:t>
      </w:r>
    </w:p>
    <w:p>
      <w:pPr>
        <w:pStyle w:val="FirstParagraph"/>
      </w:pPr>
      <w:r>
        <w:t xml:space="preserve">Host exclusive Manchester events:</w:t>
      </w:r>
      <w:r>
        <w:t xml:space="preserve"> </w:t>
      </w:r>
      <w:r>
        <w:t xml:space="preserve">• Quarterly "Research Impact Cafés" at The Lowry Theatre, featuring industry partners (NHS Greater Manchester, Siemens Mobility)</w:t>
      </w:r>
      <w:r>
        <w:t xml:space="preserve"> </w:t>
      </w:r>
      <w:r>
        <w:t xml:space="preserve">• Free "Grant Writing Clinic" pop-ups at Manchester Central Library</w:t>
      </w:r>
      <w:r>
        <w:t xml:space="preserve"> </w:t>
      </w:r>
      <w:r>
        <w:t xml:space="preserve">• Annual "Manchester Research Showcase" with prizes sponsored by local tech firms</w:t>
      </w:r>
    </w:p>
    <w:bookmarkEnd w:id="26"/>
    <w:bookmarkStart w:id="27" w:name="digital-precision-targeting"/>
    <w:p>
      <w:pPr>
        <w:pStyle w:val="Heading3"/>
      </w:pPr>
      <w:r>
        <w:t xml:space="preserve">4. Digital Precision Targeting</w:t>
      </w:r>
    </w:p>
    <w:p>
      <w:pPr>
        <w:pStyle w:val="FirstParagraph"/>
      </w:pPr>
      <w:r>
        <w:t xml:space="preserve">Leverage LinkedIn Sales Navigator to target researchers by:</w:t>
      </w:r>
      <w:r>
        <w:t xml:space="preserve"> </w:t>
      </w:r>
      <w:r>
        <w:t xml:space="preserve">• University affiliation (University of Manchester, MMU)</w:t>
      </w:r>
      <w:r>
        <w:t xml:space="preserve"> </w:t>
      </w:r>
      <w:r>
        <w:t xml:space="preserve">• Job title ("Research Associate", "Postdoctoral Fellow")</w:t>
      </w:r>
      <w:r>
        <w:t xml:space="preserve"> </w:t>
      </w:r>
      <w:r>
        <w:t xml:space="preserve">• Keywords: "ESRC grant", "Manchester research"</w:t>
      </w:r>
      <w:r>
        <w:t xml:space="preserve"> </w:t>
      </w:r>
      <w:r>
        <w:t xml:space="preserve">• Geofencing within 10 miles of city center for event promotions</w:t>
      </w:r>
    </w:p>
    <w:bookmarkEnd w:id="27"/>
    <w:bookmarkEnd w:id="28"/>
    <w:bookmarkStart w:id="29" w:name="budget-allocation"/>
    <w:p>
      <w:pPr>
        <w:pStyle w:val="Heading2"/>
      </w:pPr>
      <w:r>
        <w:t xml:space="preserve">Budget Allocation</w:t>
      </w:r>
    </w:p>
    <w:p>
      <w:pPr>
        <w:pStyle w:val="FirstParagraph"/>
      </w:pPr>
      <w:r>
        <w:t xml:space="preserve">Year 1 total budget: £48,500 (15% allocated to Manchester-specific initiatives):</w:t>
      </w:r>
    </w:p>
    <w:p>
      <w:pPr>
        <w:numPr>
          <w:ilvl w:val="0"/>
          <w:numId w:val="1003"/>
        </w:numPr>
        <w:pStyle w:val="Compact"/>
      </w:pPr>
      <w:r>
        <w:t xml:space="preserve">Content Development &amp; Localization: £12,000 (Manchester case studies, guides)</w:t>
      </w:r>
    </w:p>
    <w:p>
      <w:pPr>
        <w:numPr>
          <w:ilvl w:val="0"/>
          <w:numId w:val="1003"/>
        </w:numPr>
        <w:pStyle w:val="Compact"/>
      </w:pPr>
      <w:r>
        <w:t xml:space="preserve">University Partnership Outreach: £9,500 (co-branded materials, event costs)</w:t>
      </w:r>
    </w:p>
    <w:p>
      <w:pPr>
        <w:numPr>
          <w:ilvl w:val="0"/>
          <w:numId w:val="1003"/>
        </w:numPr>
        <w:pStyle w:val="Compact"/>
      </w:pPr>
      <w:r>
        <w:t xml:space="preserve">Digital Advertising: £18,250 (Geo-targeted LinkedIn/Google Ads for Manchester)</w:t>
      </w:r>
    </w:p>
    <w:p>
      <w:pPr>
        <w:numPr>
          <w:ilvl w:val="0"/>
          <w:numId w:val="1003"/>
        </w:numPr>
        <w:pStyle w:val="Compact"/>
      </w:pPr>
      <w:r>
        <w:t xml:space="preserve">Event Execution: £8,750 (Venue hires in Manchester city center)</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Finalize partnerships with University of Manchester; launch "Manchester Research Funding Guide" digital asset.</w:t>
      </w:r>
      <w:r>
        <w:br/>
      </w:r>
      <w:r>
        <w:rPr>
          <w:bCs/>
          <w:b/>
        </w:rPr>
        <w:t xml:space="preserve">Q2 2024:</w:t>
      </w:r>
      <w:r>
        <w:t xml:space="preserve"> </w:t>
      </w:r>
      <w:r>
        <w:t xml:space="preserve">Host first Research Impact Café at Manchester Central Library; begin LinkedIn campaign targeting ECARs.</w:t>
      </w:r>
      <w:r>
        <w:br/>
      </w:r>
      <w:r>
        <w:rPr>
          <w:bCs/>
          <w:b/>
        </w:rPr>
        <w:t xml:space="preserve">Q3 2024:</w:t>
      </w:r>
      <w:r>
        <w:t xml:space="preserve"> </w:t>
      </w:r>
      <w:r>
        <w:t xml:space="preserve">Deploy university co-branded workshop series across MMU campuses; secure first corporate sponsor (e.g., AstraZeneca Manchester).</w:t>
      </w:r>
      <w:r>
        <w:br/>
      </w:r>
      <w:r>
        <w:rPr>
          <w:bCs/>
          <w:b/>
        </w:rPr>
        <w:t xml:space="preserve">Q4 2024:</w:t>
      </w:r>
      <w:r>
        <w:t xml:space="preserve"> </w:t>
      </w:r>
      <w:r>
        <w:t xml:space="preserve">Host inaugural Manchester Research Showcase; analyze Year 1 metrics for refinement.</w:t>
      </w:r>
    </w:p>
    <w:bookmarkEnd w:id="30"/>
    <w:bookmarkStart w:id="31" w:name="measurement-evaluation"/>
    <w:p>
      <w:pPr>
        <w:pStyle w:val="Heading2"/>
      </w:pPr>
      <w:r>
        <w:t xml:space="preserve">Measurement &amp; Evaluation</w:t>
      </w:r>
    </w:p>
    <w:p>
      <w:pPr>
        <w:pStyle w:val="FirstParagraph"/>
      </w:pPr>
      <w:r>
        <w:t xml:space="preserve">We track KPIs specific to the Academic Researcher journey in United Kingdom Manchester:</w:t>
      </w:r>
      <w:r>
        <w:t xml:space="preserve"> </w:t>
      </w:r>
      <w:r>
        <w:t xml:space="preserve">• Primary: Registration conversion rate from Manchester-targeted campaigns (Target: 4.5%)</w:t>
      </w:r>
      <w:r>
        <w:t xml:space="preserve"> </w:t>
      </w:r>
      <w:r>
        <w:t xml:space="preserve">• Secondary: University partnership uptake (Target: 5 departments)</w:t>
      </w:r>
      <w:r>
        <w:t xml:space="preserve"> </w:t>
      </w:r>
      <w:r>
        <w:t xml:space="preserve">• Tertiary: Participant satisfaction scores and post-program funding success rates</w:t>
      </w:r>
      <w:r>
        <w:t xml:space="preserve"> </w:t>
      </w:r>
      <w:r>
        <w:t xml:space="preserve">All metrics will be analyzed through our Manchester-specific dashboard, with quarterly reports to university partners highlighting ROI in terms of researcher productivity and grant outcomes.</w:t>
      </w:r>
    </w:p>
    <w:bookmarkEnd w:id="31"/>
    <w:bookmarkStart w:id="32" w:name="conclusion"/>
    <w:p>
      <w:pPr>
        <w:pStyle w:val="Heading2"/>
      </w:pPr>
      <w:r>
        <w:t xml:space="preserve">Conclusion</w:t>
      </w:r>
    </w:p>
    <w:p>
      <w:pPr>
        <w:pStyle w:val="FirstParagraph"/>
      </w:pPr>
      <w:r>
        <w:t xml:space="preserve">This Marketing Plan delivers a meticulously tailored approach for Academic Researchers within United Kingdom Manchester – moving beyond generic solutions to embed our service in the city's unique research ecosystem. By prioritizing hyper-local relevance, institutional collaboration, and measurable impact on Manchester's research output, we position our offering as indispensable to career progression for every Academic Researcher navigating this dynamic environment. The plan directly addresses Manchester's strategic need for enhanced researcher capability while creating sustainable growth through city-aligned partnerships that benefit the entire United Kingdom research landscape.</w:t>
      </w:r>
    </w:p>
    <w:p>
      <w:pPr>
        <w:pStyle w:val="BodyText"/>
      </w:pPr>
      <w:r>
        <w:rPr>
          <w:bCs/>
          <w:b/>
        </w:rPr>
        <w:t xml:space="preserve">Word Count: 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Development Services in United Kingdom Manchester</dc:title>
  <dc:creator/>
  <dc:language>en</dc:language>
  <cp:keywords/>
  <dcterms:created xsi:type="dcterms:W3CDTF">2026-07-24T04:01:00Z</dcterms:created>
  <dcterms:modified xsi:type="dcterms:W3CDTF">2026-07-24T04:01:00Z</dcterms:modified>
</cp:coreProperties>
</file>

<file path=docProps/custom.xml><?xml version="1.0" encoding="utf-8"?>
<Properties xmlns="http://schemas.openxmlformats.org/officeDocument/2006/custom-properties" xmlns:vt="http://schemas.openxmlformats.org/officeDocument/2006/docPropsVTypes"/>
</file>