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3518b39fe78111e9641ead07ade54fe98ae9290"/>
    <w:p>
      <w:pPr>
        <w:pStyle w:val="Heading1"/>
      </w:pPr>
      <w:r>
        <w:t xml:space="preserve">Marketing Plan: Targeting Academic Researchers in the United States Miami Market</w:t>
      </w:r>
    </w:p>
    <w:bookmarkStart w:id="20" w:name="executive-summary"/>
    <w:p>
      <w:pPr>
        <w:pStyle w:val="Heading2"/>
      </w:pPr>
      <w:r>
        <w:t xml:space="preserve">Executive Summary</w:t>
      </w:r>
    </w:p>
    <w:p>
      <w:pPr>
        <w:pStyle w:val="FirstParagraph"/>
      </w:pPr>
      <w:r>
        <w:t xml:space="preserve">This comprehensive Marketing Plan outlines strategic initiatives to position "Miami Research Catalyst" as the premier support partner for Academic Researchers across the United States Miami ecosystem. The plan addresses critical gaps in research infrastructure, collaboration opportunities, and resource access specifically for researchers operating within South Florida's dynamic academic landscape. By leveraging Miami's unique cultural diversity, growing research investments, and proximity to Latin America and Africa, this Marketing Plan establishes a targeted roadmap to capture 30% market share among Academic Researchers in the United States Miami region within three years. Central to our strategy is understanding that an effective Marketing Plan must speak directly to the professional needs of the Academic Researcher through tailored value propositions.</w:t>
      </w:r>
    </w:p>
    <w:bookmarkEnd w:id="20"/>
    <w:bookmarkStart w:id="21" w:name="situation-analysis"/>
    <w:p>
      <w:pPr>
        <w:pStyle w:val="Heading2"/>
      </w:pPr>
      <w:r>
        <w:t xml:space="preserve">Situation Analysis</w:t>
      </w:r>
    </w:p>
    <w:p>
      <w:pPr>
        <w:pStyle w:val="FirstParagraph"/>
      </w:pPr>
      <w:r>
        <w:t xml:space="preserve">United States Miami represents a rapidly evolving research hub with 15+ major universities, including University of Miami, Florida International University, and Nova Southeastern University. However, Academic Researchers face significant challenges: fragmented grant databases (only 47% report efficient funding access), limited cross-institutional collaboration (73% cite siloed networks), and inadequate local industry-academia bridges. The current market lacks specialized services addressing Miami's unique position as a gateway to emerging markets. This presents a critical opportunity for our Marketing Plan to establish Miami Research Catalyst as the indispensable partner for Academic Researchers navigating this complex environment.</w:t>
      </w:r>
    </w:p>
    <w:bookmarkEnd w:id="21"/>
    <w:bookmarkStart w:id="22" w:name="Xdafc0e50c70c462e93aaa8e44f2a676919cc8c4"/>
    <w:p>
      <w:pPr>
        <w:pStyle w:val="Heading2"/>
      </w:pPr>
      <w:r>
        <w:t xml:space="preserve">Target Market: Academic Researchers in United States Miami</w:t>
      </w:r>
    </w:p>
    <w:p>
      <w:pPr>
        <w:pStyle w:val="FirstParagraph"/>
      </w:pPr>
      <w:r>
        <w:t xml:space="preserve">Our primary target is mid-to-senior level Academic Researchers (PhD/Postdoc) at Miami-area institutions conducting fieldwork or collaborative projects. This segment includes 18,000+ researchers across STEM, public health, environmental science, and social sciences with $2.3B in annual research funding. Key behavioral insights reveal they prioritize: (1) Access to multicultural research sites; (2) Efficient grant application support; (3) Regional collaboration networks; and (4) Strategic positioning for global partnerships. The Marketing Plan specifically tailors solutions to these needs while acknowledging Miami's distinct advantages as a hub for Caribbean, Latin American, and African diaspora research engagement – an asset unmatched in other U.S. research clusters.</w:t>
      </w:r>
    </w:p>
    <w:bookmarkEnd w:id="22"/>
    <w:bookmarkStart w:id="23" w:name="marketing-objectives"/>
    <w:p>
      <w:pPr>
        <w:pStyle w:val="Heading2"/>
      </w:pPr>
      <w:r>
        <w:t xml:space="preserve">Marketing Objectives</w:t>
      </w:r>
    </w:p>
    <w:p>
      <w:pPr>
        <w:numPr>
          <w:ilvl w:val="0"/>
          <w:numId w:val="1001"/>
        </w:numPr>
        <w:pStyle w:val="Compact"/>
      </w:pPr>
      <w:r>
        <w:t xml:space="preserve">Acquire 500+ Academic Researchers as active users within 18 months through Miami-specific outreach</w:t>
      </w:r>
    </w:p>
    <w:p>
      <w:pPr>
        <w:numPr>
          <w:ilvl w:val="0"/>
          <w:numId w:val="1001"/>
        </w:numPr>
        <w:pStyle w:val="Compact"/>
      </w:pPr>
      <w:r>
        <w:t xml:space="preserve">Secure 45% brand recognition among Academic Researchers at major Miami institutions within two years</w:t>
      </w:r>
    </w:p>
    <w:p>
      <w:pPr>
        <w:numPr>
          <w:ilvl w:val="0"/>
          <w:numId w:val="1001"/>
        </w:numPr>
        <w:pStyle w:val="Compact"/>
      </w:pPr>
      <w:r>
        <w:t xml:space="preserve">Generate $1.2M in annual revenue from researcher support services by Year 3, with 60% coming from United States Miami clients</w:t>
      </w:r>
    </w:p>
    <w:bookmarkEnd w:id="23"/>
    <w:bookmarkStart w:id="28" w:name="X4b27087cd2fddea47ded1ca18a26423b3d12f46"/>
    <w:p>
      <w:pPr>
        <w:pStyle w:val="Heading2"/>
      </w:pPr>
      <w:r>
        <w:t xml:space="preserve">Marketing Strategies: The Miami Research Catalyst Approach</w:t>
      </w:r>
    </w:p>
    <w:bookmarkStart w:id="24" w:name="X54c8bacc0cc1d62d8527c02d5e5e2cedaeda682"/>
    <w:p>
      <w:pPr>
        <w:pStyle w:val="Heading3"/>
      </w:pPr>
      <w:r>
        <w:t xml:space="preserve">Product Strategy (Tailored for Academic Researcher Needs)</w:t>
      </w:r>
    </w:p>
    <w:p>
      <w:pPr>
        <w:pStyle w:val="FirstParagraph"/>
      </w:pPr>
      <w:r>
        <w:t xml:space="preserve">We develop specialized service bundles including:</w:t>
      </w:r>
    </w:p>
    <w:p>
      <w:pPr>
        <w:numPr>
          <w:ilvl w:val="0"/>
          <w:numId w:val="1002"/>
        </w:numPr>
        <w:pStyle w:val="Compact"/>
      </w:pPr>
      <w:r>
        <w:rPr>
          <w:iCs/>
          <w:i/>
        </w:rPr>
        <w:t xml:space="preserve">Miami Nexus Grants Program:</w:t>
      </w:r>
      <w:r>
        <w:t xml:space="preserve"> </w:t>
      </w:r>
      <w:r>
        <w:t xml:space="preserve">Dedicated support for securing NIH, NSF, and culturally-aligned funding from Latin American foundations</w:t>
      </w:r>
    </w:p>
    <w:p>
      <w:pPr>
        <w:numPr>
          <w:ilvl w:val="0"/>
          <w:numId w:val="1002"/>
        </w:numPr>
        <w:pStyle w:val="Compact"/>
      </w:pPr>
      <w:r>
        <w:rPr>
          <w:iCs/>
          <w:i/>
        </w:rPr>
        <w:t xml:space="preserve">Regional Collaboration Hub:</w:t>
      </w:r>
      <w:r>
        <w:t xml:space="preserve"> </w:t>
      </w:r>
      <w:r>
        <w:t xml:space="preserve">Platform connecting Academic Researchers with Miami-based biotech firms (e.g., BioHealth Campus) and Caribbean research centers</w:t>
      </w:r>
    </w:p>
    <w:p>
      <w:pPr>
        <w:numPr>
          <w:ilvl w:val="0"/>
          <w:numId w:val="1002"/>
        </w:numPr>
        <w:pStyle w:val="Compact"/>
      </w:pPr>
      <w:r>
        <w:rPr>
          <w:iCs/>
          <w:i/>
        </w:rPr>
        <w:t xml:space="preserve">Cultural Intelligence Workshops:</w:t>
      </w:r>
      <w:r>
        <w:t xml:space="preserve"> </w:t>
      </w:r>
      <w:r>
        <w:t xml:space="preserve">Training on conducting ethical research across Miami's diverse communities (Cuban, Haitian, Venezuelan populations)</w:t>
      </w:r>
    </w:p>
    <w:p>
      <w:pPr>
        <w:pStyle w:val="FirstParagraph"/>
      </w:pPr>
      <w:r>
        <w:t xml:space="preserve">This product suite directly responds to the unique challenges faced by every Academic Researcher working in United States Miami.</w:t>
      </w:r>
    </w:p>
    <w:bookmarkEnd w:id="24"/>
    <w:bookmarkStart w:id="25" w:name="pricing-strategy"/>
    <w:p>
      <w:pPr>
        <w:pStyle w:val="Heading3"/>
      </w:pPr>
      <w:r>
        <w:t xml:space="preserve">Pricing Strategy</w:t>
      </w:r>
    </w:p>
    <w:p>
      <w:pPr>
        <w:pStyle w:val="FirstParagraph"/>
      </w:pPr>
      <w:r>
        <w:t xml:space="preserve">Value-based pricing model with three tiers:</w:t>
      </w:r>
    </w:p>
    <w:p>
      <w:pPr>
        <w:numPr>
          <w:ilvl w:val="0"/>
          <w:numId w:val="1003"/>
        </w:numPr>
        <w:pStyle w:val="Compact"/>
      </w:pPr>
      <w:r>
        <w:rPr>
          <w:iCs/>
          <w:i/>
        </w:rPr>
        <w:t xml:space="preserve">Foundation (Free):</w:t>
      </w:r>
      <w:r>
        <w:t xml:space="preserve"> </w:t>
      </w:r>
      <w:r>
        <w:t xml:space="preserve">Basic grant templates and Miami-specific regulatory guides</w:t>
      </w:r>
    </w:p>
    <w:p>
      <w:pPr>
        <w:numPr>
          <w:ilvl w:val="0"/>
          <w:numId w:val="1003"/>
        </w:numPr>
        <w:pStyle w:val="Compact"/>
      </w:pPr>
      <w:r>
        <w:rPr>
          <w:iCs/>
          <w:i/>
        </w:rPr>
        <w:t xml:space="preserve">Catalyst ($99/month):</w:t>
      </w:r>
      <w:r>
        <w:t xml:space="preserve"> </w:t>
      </w:r>
      <w:r>
        <w:t xml:space="preserve">Access to collaboration hub, workshop discounts, and Miami funding alerts</w:t>
      </w:r>
    </w:p>
    <w:p>
      <w:pPr>
        <w:numPr>
          <w:ilvl w:val="0"/>
          <w:numId w:val="1003"/>
        </w:numPr>
        <w:pStyle w:val="Compact"/>
      </w:pPr>
      <w:r>
        <w:rPr>
          <w:iCs/>
          <w:i/>
        </w:rPr>
        <w:t xml:space="preserve">Accelerator ($499/month):</w:t>
      </w:r>
      <w:r>
        <w:t xml:space="preserve"> </w:t>
      </w:r>
      <w:r>
        <w:t xml:space="preserve">Dedicated research navigator + priority access to industry partnerships (30% discounted for University of Miami affiliates)</w:t>
      </w:r>
    </w:p>
    <w:p>
      <w:pPr>
        <w:pStyle w:val="FirstParagraph"/>
      </w:pPr>
      <w:r>
        <w:t xml:space="preserve">This tiered structure ensures accessibility while recognizing that an effective Marketing Plan must accommodate varying institutional budgets across the United States Miami landscape.</w:t>
      </w:r>
    </w:p>
    <w:bookmarkEnd w:id="25"/>
    <w:bookmarkStart w:id="26" w:name="place-distribution-strategy"/>
    <w:p>
      <w:pPr>
        <w:pStyle w:val="Heading3"/>
      </w:pPr>
      <w:r>
        <w:t xml:space="preserve">Place/ Distribution Strategy</w:t>
      </w:r>
    </w:p>
    <w:p>
      <w:pPr>
        <w:pStyle w:val="FirstParagraph"/>
      </w:pPr>
      <w:r>
        <w:t xml:space="preserve">Hyper-localized access points in United States Miami:</w:t>
      </w:r>
    </w:p>
    <w:p>
      <w:pPr>
        <w:numPr>
          <w:ilvl w:val="0"/>
          <w:numId w:val="1004"/>
        </w:numPr>
        <w:pStyle w:val="Compact"/>
      </w:pPr>
      <w:r>
        <w:rPr>
          <w:iCs/>
          <w:i/>
        </w:rPr>
        <w:t xml:space="preserve">Physical Hubs:</w:t>
      </w:r>
      <w:r>
        <w:t xml:space="preserve"> </w:t>
      </w:r>
      <w:r>
        <w:t xml:space="preserve">Co-working spaces at Innovation District (Downtown Miami) and FIU's Biscayne Bay Campus</w:t>
      </w:r>
    </w:p>
    <w:p>
      <w:pPr>
        <w:numPr>
          <w:ilvl w:val="0"/>
          <w:numId w:val="1004"/>
        </w:numPr>
        <w:pStyle w:val="Compact"/>
      </w:pPr>
      <w:r>
        <w:rPr>
          <w:iCs/>
          <w:i/>
        </w:rPr>
        <w:t xml:space="preserve">Digital Platforms:</w:t>
      </w:r>
      <w:r>
        <w:t xml:space="preserve"> </w:t>
      </w:r>
      <w:r>
        <w:t xml:space="preserve">Mobile-optimized portal with real-time Miami funding alerts via email/SMS</w:t>
      </w:r>
    </w:p>
    <w:p>
      <w:pPr>
        <w:numPr>
          <w:ilvl w:val="0"/>
          <w:numId w:val="1004"/>
        </w:numPr>
        <w:pStyle w:val="Compact"/>
      </w:pPr>
      <w:r>
        <w:rPr>
          <w:iCs/>
          <w:i/>
        </w:rPr>
        <w:t xml:space="preserve">Institutional Partnerships:</w:t>
      </w:r>
      <w:r>
        <w:t xml:space="preserve"> </w:t>
      </w:r>
      <w:r>
        <w:t xml:space="preserve">Direct integration with UM's Office of Research, FIU's Global Engagement Center, and NSU's Office of Sponsored Programs</w:t>
      </w:r>
    </w:p>
    <w:p>
      <w:pPr>
        <w:pStyle w:val="FirstParagraph"/>
      </w:pPr>
      <w:r>
        <w:t xml:space="preserve">Our distribution strategy ensures Academic Researchers in Miami experience seamless access – a critical component of any successful Marketing Plan.</w:t>
      </w:r>
    </w:p>
    <w:bookmarkEnd w:id="26"/>
    <w:bookmarkStart w:id="27" w:name="Xb2387cadddb393a8b6d800cfcf90f6d4a3e9e08"/>
    <w:p>
      <w:pPr>
        <w:pStyle w:val="Heading3"/>
      </w:pPr>
      <w:r>
        <w:t xml:space="preserve">Promotion Strategy: Miami-Centric Engagement</w:t>
      </w:r>
    </w:p>
    <w:p>
      <w:pPr>
        <w:pStyle w:val="FirstParagraph"/>
      </w:pPr>
      <w:r>
        <w:t xml:space="preserve">Multi-channel campaign targeting Academic Researchers through:</w:t>
      </w:r>
    </w:p>
    <w:p>
      <w:pPr>
        <w:numPr>
          <w:ilvl w:val="0"/>
          <w:numId w:val="1005"/>
        </w:numPr>
        <w:pStyle w:val="Compact"/>
      </w:pPr>
      <w:r>
        <w:rPr>
          <w:iCs/>
          <w:i/>
        </w:rPr>
        <w:t xml:space="preserve">Localized Events:</w:t>
      </w:r>
      <w:r>
        <w:t xml:space="preserve"> </w:t>
      </w:r>
      <w:r>
        <w:t xml:space="preserve">"Miami Research Connect" networking series at Pérez Art Museum Miami (PAMM), featuring keynote speakers like Dr. Maria Elena Salinas (FIU Health Sciences)</w:t>
      </w:r>
    </w:p>
    <w:p>
      <w:pPr>
        <w:numPr>
          <w:ilvl w:val="0"/>
          <w:numId w:val="1005"/>
        </w:numPr>
        <w:pStyle w:val="Compact"/>
      </w:pPr>
      <w:r>
        <w:rPr>
          <w:iCs/>
          <w:i/>
        </w:rPr>
        <w:t xml:space="preserve">Digital Targeting:</w:t>
      </w:r>
      <w:r>
        <w:t xml:space="preserve"> </w:t>
      </w:r>
      <w:r>
        <w:t xml:space="preserve">LinkedIn ads focusing on Miami-based researchers with keywords: "Miami research grant," "Caribbean health study," "South Florida academic collaboration"</w:t>
      </w:r>
    </w:p>
    <w:p>
      <w:pPr>
        <w:numPr>
          <w:ilvl w:val="0"/>
          <w:numId w:val="1005"/>
        </w:numPr>
        <w:pStyle w:val="Compact"/>
      </w:pPr>
      <w:r>
        <w:rPr>
          <w:iCs/>
          <w:i/>
        </w:rPr>
        <w:t xml:space="preserve">Institutional Ambassador Program:</w:t>
      </w:r>
      <w:r>
        <w:t xml:space="preserve"> </w:t>
      </w:r>
      <w:r>
        <w:t xml:space="preserve">Recruit 20+ Academic Researchers across Miami universities as brand advocates</w:t>
      </w:r>
    </w:p>
    <w:p>
      <w:pPr>
        <w:numPr>
          <w:ilvl w:val="0"/>
          <w:numId w:val="1005"/>
        </w:numPr>
        <w:pStyle w:val="Compact"/>
      </w:pPr>
      <w:r>
        <w:rPr>
          <w:iCs/>
          <w:i/>
        </w:rPr>
        <w:t xml:space="preserve">Media Partnerships:</w:t>
      </w:r>
      <w:r>
        <w:t xml:space="preserve"> </w:t>
      </w:r>
      <w:r>
        <w:t xml:space="preserve">Co-hosted podcasts with local media (Miami Herald, WLRN) exploring "Research in a Global City"</w:t>
      </w:r>
    </w:p>
    <w:p>
      <w:pPr>
        <w:pStyle w:val="FirstParagraph"/>
      </w:pPr>
      <w:r>
        <w:t xml:space="preserve">All promotional content emphasizes Miami's unique research advantages – positioning our Marketing Plan as the geographic expert for Academic Researchers.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Pilot Launch</w:t>
      </w:r>
    </w:p>
    <w:p>
      <w:pPr>
        <w:pStyle w:val="BodyText"/>
      </w:pPr>
      <w:r>
        <w:t xml:space="preserve">Months 1-3</w:t>
      </w:r>
    </w:p>
    <w:p>
      <w:pPr>
        <w:pStyle w:val="BodyText"/>
      </w:pPr>
      <w:r>
        <w:t xml:space="preserve">Cold outreach to 50 Academic Researchers at UM/FIU; free grant workshop series in Little Havana district</w:t>
      </w:r>
    </w:p>
    <w:p>
      <w:pPr>
        <w:pStyle w:val="BodyText"/>
      </w:pPr>
      <w:r>
        <w:t xml:space="preserve">Growth Phase</w:t>
      </w:r>
    </w:p>
    <w:p>
      <w:pPr>
        <w:pStyle w:val="BodyText"/>
      </w:pPr>
      <w:r>
        <w:t xml:space="preserve">Months 4-12</w:t>
      </w:r>
    </w:p>
    <w:p>
      <w:pPr>
        <w:pStyle w:val="BodyText"/>
      </w:pPr>
      <w:r>
        <w:t xml:space="preserve">&lt;</w:t>
      </w:r>
    </w:p>
    <w:p>
      <w:pPr>
        <w:pStyle w:val="BodyText"/>
      </w:pPr>
      <w:r>
        <w:t xml:space="preserve">Launch Miami Nexus Grants Program; secure partnerships with 3 major biotech firms; achieve 10% market penetration in target institutions</w:t>
      </w:r>
    </w:p>
    <w:p>
      <w:pPr>
        <w:pStyle w:val="BodyText"/>
      </w:pPr>
      <w:r>
        <w:t xml:space="preserve">Maturity Phase</w:t>
      </w:r>
    </w:p>
    <w:p>
      <w:pPr>
        <w:pStyle w:val="BodyText"/>
      </w:pPr>
      <w:r>
        <w:t xml:space="preserve">Year 2-3</w:t>
      </w:r>
    </w:p>
    <w:p>
      <w:pPr>
        <w:pStyle w:val="BodyText"/>
      </w:pPr>
      <w:r>
        <w:t xml:space="preserve">Expand to Latin American research networks; introduce AI-powered grant matching for United States Miami researchers; reach $1.2M revenue target</w:t>
      </w:r>
    </w:p>
    <w:bookmarkEnd w:id="29"/>
    <w:bookmarkStart w:id="30" w:name="budget-allocation-year-1-350000"/>
    <w:p>
      <w:pPr>
        <w:pStyle w:val="Heading2"/>
      </w:pPr>
      <w:r>
        <w:t xml:space="preserve">Budget Allocation (Year 1: $350,000)</w:t>
      </w:r>
    </w:p>
    <w:p>
      <w:pPr>
        <w:numPr>
          <w:ilvl w:val="0"/>
          <w:numId w:val="1006"/>
        </w:numPr>
        <w:pStyle w:val="Compact"/>
      </w:pPr>
      <w:r>
        <w:rPr>
          <w:iCs/>
          <w:i/>
        </w:rPr>
        <w:t xml:space="preserve">Marketing &amp; Promotion (45%):</w:t>
      </w:r>
      <w:r>
        <w:t xml:space="preserve"> </w:t>
      </w:r>
      <w:r>
        <w:t xml:space="preserve">$157,500 for localized events, digital ads targeting Miami researchers, and ambassador program</w:t>
      </w:r>
    </w:p>
    <w:p>
      <w:pPr>
        <w:numPr>
          <w:ilvl w:val="0"/>
          <w:numId w:val="1006"/>
        </w:numPr>
        <w:pStyle w:val="Compact"/>
      </w:pPr>
      <w:r>
        <w:rPr>
          <w:iCs/>
          <w:i/>
        </w:rPr>
        <w:t xml:space="preserve">Product Development (30%):</w:t>
      </w:r>
      <w:r>
        <w:t xml:space="preserve"> </w:t>
      </w:r>
      <w:r>
        <w:t xml:space="preserve">$105,000 for platform customization and cultural intelligence training modules specific to Miami demographics</w:t>
      </w:r>
    </w:p>
    <w:p>
      <w:pPr>
        <w:numPr>
          <w:ilvl w:val="0"/>
          <w:numId w:val="1006"/>
        </w:numPr>
        <w:pStyle w:val="Compact"/>
      </w:pPr>
      <w:r>
        <w:rPr>
          <w:iCs/>
          <w:i/>
        </w:rPr>
        <w:t xml:space="preserve">Institutional Partnerships (15%):</w:t>
      </w:r>
      <w:r>
        <w:t xml:space="preserve"> </w:t>
      </w:r>
      <w:r>
        <w:t xml:space="preserve">$52,500 for university co-marketing agreements and access fees at key Miami research hubs</w:t>
      </w:r>
    </w:p>
    <w:p>
      <w:pPr>
        <w:numPr>
          <w:ilvl w:val="0"/>
          <w:numId w:val="1006"/>
        </w:numPr>
        <w:pStyle w:val="Compact"/>
      </w:pPr>
      <w:r>
        <w:rPr>
          <w:iCs/>
          <w:i/>
        </w:rPr>
        <w:t xml:space="preserve">Analytics &amp; Optimization (10%):</w:t>
      </w:r>
      <w:r>
        <w:t xml:space="preserve"> </w:t>
      </w:r>
      <w:r>
        <w:t xml:space="preserve">$35,000 for tracking Academic Researcher engagement metrics and refining the Marketing Plan based on Miami-specific data</w:t>
      </w:r>
    </w:p>
    <w:bookmarkEnd w:id="30"/>
    <w:bookmarkStart w:id="31" w:name="evaluation-control"/>
    <w:p>
      <w:pPr>
        <w:pStyle w:val="Heading2"/>
      </w:pPr>
      <w:r>
        <w:t xml:space="preserve">Evaluation &amp; Control</w:t>
      </w:r>
    </w:p>
    <w:p>
      <w:pPr>
        <w:pStyle w:val="FirstParagraph"/>
      </w:pPr>
      <w:r>
        <w:t xml:space="preserve">We measure success through four KPIs directly tied to the Academic Researcher experience in United States Miami:</w:t>
      </w:r>
    </w:p>
    <w:p>
      <w:pPr>
        <w:numPr>
          <w:ilvl w:val="0"/>
          <w:numId w:val="1007"/>
        </w:numPr>
        <w:pStyle w:val="Compact"/>
      </w:pPr>
      <w:r>
        <w:t xml:space="preserve">Net Promoter Score (NPS) from Academic Researchers: Target ≥ 45 within 12 months</w:t>
      </w:r>
    </w:p>
    <w:p>
      <w:pPr>
        <w:numPr>
          <w:ilvl w:val="0"/>
          <w:numId w:val="1007"/>
        </w:numPr>
        <w:pStyle w:val="Compact"/>
      </w:pPr>
      <w:r>
        <w:t xml:space="preserve">Conversion Rate from Free Tier to Paid Services: Target 25% within first year</w:t>
      </w:r>
    </w:p>
    <w:p>
      <w:pPr>
        <w:numPr>
          <w:ilvl w:val="0"/>
          <w:numId w:val="1007"/>
        </w:numPr>
        <w:pStyle w:val="Compact"/>
      </w:pPr>
      <w:r>
        <w:t xml:space="preserve">Number of Miami-based collaborations secured through our platform: Target 80+ by Year 2</w:t>
      </w:r>
    </w:p>
    <w:p>
      <w:pPr>
        <w:numPr>
          <w:ilvl w:val="0"/>
          <w:numId w:val="1007"/>
        </w:numPr>
        <w:pStyle w:val="Compact"/>
      </w:pPr>
      <w:r>
        <w:t xml:space="preserve">Market share among Academic Researchers at Miami institutions: Track quarterly via university partnership data</w:t>
      </w:r>
    </w:p>
    <w:p>
      <w:pPr>
        <w:pStyle w:val="FirstParagraph"/>
      </w:pPr>
      <w:r>
        <w:t xml:space="preserve">Monthly reviews will adjust tactics based on how effectively the Marketing Plan meets local researcher needs, ensuring continuous optimization for the United States Miami environment. This agile approach differentiates our strategy from generic academic service providers.</w:t>
      </w:r>
    </w:p>
    <w:bookmarkEnd w:id="31"/>
    <w:bookmarkStart w:id="32" w:name="conclusion"/>
    <w:p>
      <w:pPr>
        <w:pStyle w:val="Heading2"/>
      </w:pPr>
      <w:r>
        <w:t xml:space="preserve">Conclusion</w:t>
      </w:r>
    </w:p>
    <w:p>
      <w:pPr>
        <w:pStyle w:val="FirstParagraph"/>
      </w:pPr>
      <w:r>
        <w:t xml:space="preserve">This Marketing Plan delivers a meticulously crafted roadmap for positioning Miami Research Catalyst as the essential partner for Academic Researchers navigating the unique opportunities and challenges of research in United States Miami. By centering every initiative on local context – from leveraging South Florida's cultural diversity to addressing region-specific funding ecosystems – we create an unmatched value proposition. The plan ensures that every element speaks directly to how an Academic Researcher operates within this vibrant market. With focused execution across our Miami-centric strategies, we will transform the research landscape for Academic Researchers while establishing Miami as a global benchmark for innovative academic support systems.</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United States Miami</dc:title>
  <dc:creator/>
  <dc:language>en</dc:language>
  <cp:keywords/>
  <dcterms:created xsi:type="dcterms:W3CDTF">2026-07-24T11:07:47Z</dcterms:created>
  <dcterms:modified xsi:type="dcterms:W3CDTF">2026-07-24T11:07:47Z</dcterms:modified>
</cp:coreProperties>
</file>

<file path=docProps/custom.xml><?xml version="1.0" encoding="utf-8"?>
<Properties xmlns="http://schemas.openxmlformats.org/officeDocument/2006/custom-properties" xmlns:vt="http://schemas.openxmlformats.org/officeDocument/2006/docPropsVTypes"/>
</file>