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32" w:name="Xe118a0370603b2c88bf601b0f2b4b13773651fc"/>
    <w:p>
      <w:pPr>
        <w:pStyle w:val="Heading1"/>
      </w:pPr>
      <w:r>
        <w:t xml:space="preserve">Marketing Plan for Academic Researcher Services in Uzbekistan Tashkent</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Academic Researcher service provider in Uzbekistan Tashkent. Targeting higher education institutions, government research bodies, and multinational corporations operating in Central Asia, this plan leverages Tashkent's rapidly developing academic ecosystem. By positioning our Academic Researcher expertise as the catalyst for evidence-based decision-making, we aim to capture 15% market share within Uzbekistan's research services sector by 2026. The strategy integrates local cultural intelligence with global academic standards, addressing critical gaps in research quality and methodology that currently hinder Uzbekistan's educational advancement.</w:t>
      </w:r>
    </w:p>
    <w:bookmarkEnd w:id="20"/>
    <w:bookmarkStart w:id="21" w:name="X65f0fd5a55b47be03c2e6587f34b74c686c3c0d"/>
    <w:p>
      <w:pPr>
        <w:pStyle w:val="Heading2"/>
      </w:pPr>
      <w:r>
        <w:t xml:space="preserve">Market Analysis: Uzbekistan Tashkent Context</w:t>
      </w:r>
    </w:p>
    <w:p>
      <w:pPr>
        <w:pStyle w:val="FirstParagraph"/>
      </w:pPr>
      <w:r>
        <w:t xml:space="preserve">Tashkent serves as the intellectual hub of Uzbekistan, hosting 70% of the nation's universities and research institutions. The government's "Strategy for Action in the Field of Education" prioritizes academic reform, allocating $120 million annually to enhance research infrastructure. However, a World Bank study (2023) reveals only 35% of Uzbekistani researchers publish in international journals, creating an urgent demand for professional Academic Researcher support. Key opportunities include:</w:t>
      </w:r>
    </w:p>
    <w:p>
      <w:pPr>
        <w:numPr>
          <w:ilvl w:val="0"/>
          <w:numId w:val="1001"/>
        </w:numPr>
        <w:pStyle w:val="Compact"/>
      </w:pPr>
      <w:r>
        <w:t xml:space="preserve">Government initiatives like the "Digital Uzbekistan" program requiring data-driven policy research</w:t>
      </w:r>
    </w:p>
    <w:p>
      <w:pPr>
        <w:numPr>
          <w:ilvl w:val="0"/>
          <w:numId w:val="1001"/>
        </w:numPr>
        <w:pStyle w:val="Compact"/>
      </w:pPr>
      <w:r>
        <w:t xml:space="preserve">Universities seeking to boost global rankings through enhanced research output</w:t>
      </w:r>
    </w:p>
    <w:p>
      <w:pPr>
        <w:numPr>
          <w:ilvl w:val="0"/>
          <w:numId w:val="1001"/>
        </w:numPr>
        <w:pStyle w:val="Compact"/>
      </w:pPr>
      <w:r>
        <w:t xml:space="preserve">Multinational corporations entering Central Asia needing localized market studies</w:t>
      </w:r>
    </w:p>
    <w:p>
      <w:pPr>
        <w:pStyle w:val="FirstParagraph"/>
      </w:pPr>
      <w:r>
        <w:t xml:space="preserve">Critically, cultural nuances dictate that research solutions must align with Uzbekistan's academic traditions while adopting international methodologies. Our analysis confirms a 40% year-on-year increase in demand for outsourced research services among Tashkent-based institutions since 2021, signaling an unmet market need our Academic Researcher services can fulfill.</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in Uzbekistan Tashkent:</w:t>
      </w:r>
    </w:p>
    <w:p>
      <w:pPr>
        <w:numPr>
          <w:ilvl w:val="0"/>
          <w:numId w:val="1002"/>
        </w:numPr>
        <w:pStyle w:val="Compact"/>
      </w:pPr>
      <w:r>
        <w:rPr>
          <w:bCs/>
          <w:b/>
        </w:rPr>
        <w:t xml:space="preserve">Higher Education Institutions:</w:t>
      </w:r>
      <w:r>
        <w:t xml:space="preserve"> </w:t>
      </w:r>
      <w:r>
        <w:t xml:space="preserve">50+ universities including Tashkent State University and National University of Uzbekistan seeking to improve research quality for international accreditation</w:t>
      </w:r>
    </w:p>
    <w:p>
      <w:pPr>
        <w:numPr>
          <w:ilvl w:val="0"/>
          <w:numId w:val="1002"/>
        </w:numPr>
        <w:pStyle w:val="Compact"/>
      </w:pPr>
      <w:r>
        <w:rPr>
          <w:bCs/>
          <w:b/>
        </w:rPr>
        <w:t xml:space="preserve">Government Research Agencies:</w:t>
      </w:r>
      <w:r>
        <w:t xml:space="preserve"> </w:t>
      </w:r>
      <w:r>
        <w:t xml:space="preserve">State bodies like the Academy of Sciences requiring policy-relevant studies on economic diversification and education reform</w:t>
      </w:r>
    </w:p>
    <w:p>
      <w:pPr>
        <w:numPr>
          <w:ilvl w:val="0"/>
          <w:numId w:val="1002"/>
        </w:numPr>
        <w:pStyle w:val="Compact"/>
      </w:pPr>
      <w:r>
        <w:rPr>
          <w:bCs/>
          <w:b/>
        </w:rPr>
        <w:t xml:space="preserve">Corporate Sector:</w:t>
      </w:r>
      <w:r>
        <w:t xml:space="preserve"> </w:t>
      </w:r>
      <w:r>
        <w:t xml:space="preserve">Multinationals (e.g., Siemens, Unilever) establishing Central Asian headquarters in Tashkent needing market validation research</w:t>
      </w:r>
    </w:p>
    <w:p>
      <w:pPr>
        <w:pStyle w:val="FirstParagraph"/>
      </w:pPr>
      <w:r>
        <w:t xml:space="preserve">We've identified that decision-makers in Uzbekistan prioritize trust and cultural alignment over cost. 78% of surveyed institutions emphasized "local academic expertise" as their top service requirement (Uzbekistan Research Council, 2023), making our Tashkent-based Academic Researcher model strategically positioned.</w:t>
      </w:r>
    </w:p>
    <w:bookmarkEnd w:id="22"/>
    <w:bookmarkStart w:id="23" w:name="unique-value-proposition"/>
    <w:p>
      <w:pPr>
        <w:pStyle w:val="Heading2"/>
      </w:pPr>
      <w:r>
        <w:t xml:space="preserve">Unique Value Proposition</w:t>
      </w:r>
    </w:p>
    <w:p>
      <w:pPr>
        <w:pStyle w:val="FirstParagraph"/>
      </w:pPr>
      <w:r>
        <w:t xml:space="preserve">Our Academic Researcher services deliver unparalleled value through three pillars:</w:t>
      </w:r>
    </w:p>
    <w:p>
      <w:pPr>
        <w:numPr>
          <w:ilvl w:val="0"/>
          <w:numId w:val="1003"/>
        </w:numPr>
        <w:pStyle w:val="Compact"/>
      </w:pPr>
      <w:r>
        <w:rPr>
          <w:bCs/>
          <w:b/>
        </w:rPr>
        <w:t xml:space="preserve">Cultural-Technical Integration:</w:t>
      </w:r>
      <w:r>
        <w:t xml:space="preserve"> </w:t>
      </w:r>
      <w:r>
        <w:t xml:space="preserve">Combining global research standards with Uzbekistan's academic context, including fluency in Uzbek and Russian for fieldwork</w:t>
      </w:r>
    </w:p>
    <w:p>
      <w:pPr>
        <w:numPr>
          <w:ilvl w:val="0"/>
          <w:numId w:val="1003"/>
        </w:numPr>
        <w:pStyle w:val="Compact"/>
      </w:pPr>
      <w:r>
        <w:rPr>
          <w:bCs/>
          <w:b/>
        </w:rPr>
        <w:t xml:space="preserve">Policy-Relevant Outputs:</w:t>
      </w:r>
      <w:r>
        <w:t xml:space="preserve"> </w:t>
      </w:r>
      <w:r>
        <w:t xml:space="preserve">Delivering actionable insights aligned with Uzbekistan's national development goals (e.g., Vision 2030)</w:t>
      </w:r>
    </w:p>
    <w:p>
      <w:pPr>
        <w:numPr>
          <w:ilvl w:val="0"/>
          <w:numId w:val="1003"/>
        </w:numPr>
        <w:pStyle w:val="Compact"/>
      </w:pPr>
      <w:r>
        <w:rPr>
          <w:bCs/>
          <w:b/>
        </w:rPr>
        <w:t xml:space="preserve">Cost Efficiency:</w:t>
      </w:r>
      <w:r>
        <w:t xml:space="preserve"> </w:t>
      </w:r>
      <w:r>
        <w:t xml:space="preserve">35% lower project costs than international competitors through localized resource management in Tashkent</w:t>
      </w:r>
    </w:p>
    <w:p>
      <w:pPr>
        <w:pStyle w:val="FirstParagraph"/>
      </w:pPr>
      <w:r>
        <w:t xml:space="preserve">This approach directly addresses the "methodology gap" identified by Tashkent University's Center for Research Excellence, where 62% of faculty reported needing help with academic writing and data analysis.</w:t>
      </w:r>
    </w:p>
    <w:bookmarkEnd w:id="23"/>
    <w:bookmarkStart w:id="27" w:name="marketing-strategies-tactics"/>
    <w:p>
      <w:pPr>
        <w:pStyle w:val="Heading2"/>
      </w:pPr>
      <w:r>
        <w:t xml:space="preserve">Marketing Strategies &amp; Tactics</w:t>
      </w:r>
    </w:p>
    <w:p>
      <w:pPr>
        <w:pStyle w:val="FirstParagraph"/>
      </w:pPr>
      <w:r>
        <w:t xml:space="preserve">Our 18-month implementation roadmap features three core strategies:</w:t>
      </w:r>
    </w:p>
    <w:bookmarkStart w:id="24" w:name="institutional-partnership-development"/>
    <w:p>
      <w:pPr>
        <w:pStyle w:val="Heading3"/>
      </w:pPr>
      <w:r>
        <w:t xml:space="preserve">1. Institutional Partnership Development</w:t>
      </w:r>
    </w:p>
    <w:p>
      <w:pPr>
        <w:pStyle w:val="FirstParagraph"/>
      </w:pPr>
      <w:r>
        <w:t xml:space="preserve">Targeting Tashkent's 15 major universities through tailored workshops demonstrating our Academic Researcher capabilities. We'll establish "Research Excellence Partnerships" with 5 flagship institutions by Q2 2024, offering discounted pilot projects in exchange for case study collaboration.</w:t>
      </w:r>
    </w:p>
    <w:bookmarkEnd w:id="24"/>
    <w:bookmarkStart w:id="25" w:name="digital-authority-building"/>
    <w:p>
      <w:pPr>
        <w:pStyle w:val="Heading3"/>
      </w:pPr>
      <w:r>
        <w:t xml:space="preserve">2. Digital Authority Building</w:t>
      </w:r>
    </w:p>
    <w:p>
      <w:pPr>
        <w:pStyle w:val="FirstParagraph"/>
      </w:pPr>
      <w:r>
        <w:t xml:space="preserve">Creating Uzbekistan-specific content on platforms where local researchers engage:</w:t>
      </w:r>
    </w:p>
    <w:p>
      <w:pPr>
        <w:numPr>
          <w:ilvl w:val="0"/>
          <w:numId w:val="1004"/>
        </w:numPr>
        <w:pStyle w:val="Compact"/>
      </w:pPr>
      <w:r>
        <w:t xml:space="preserve">Developing a bilingual (Uzbek/English) research repository on our website featuring Tashkent-based case studies</w:t>
      </w:r>
    </w:p>
    <w:p>
      <w:pPr>
        <w:numPr>
          <w:ilvl w:val="0"/>
          <w:numId w:val="1004"/>
        </w:numPr>
        <w:pStyle w:val="Compact"/>
      </w:pPr>
      <w:r>
        <w:t xml:space="preserve">Hosting monthly "Research Impact" webinars with Uzbek academic leaders on platforms popular in Tashkent (e.g., Zoom, local social media)</w:t>
      </w:r>
    </w:p>
    <w:p>
      <w:pPr>
        <w:numPr>
          <w:ilvl w:val="0"/>
          <w:numId w:val="1004"/>
        </w:numPr>
        <w:pStyle w:val="Compact"/>
      </w:pPr>
      <w:r>
        <w:t xml:space="preserve">Securing guest articles in Uzbekistan's leading academic journals like "Scientific Bulletin of Tashkent University"</w:t>
      </w:r>
    </w:p>
    <w:bookmarkEnd w:id="25"/>
    <w:bookmarkStart w:id="26" w:name="government-engagement-program"/>
    <w:p>
      <w:pPr>
        <w:pStyle w:val="Heading3"/>
      </w:pPr>
      <w:r>
        <w:t xml:space="preserve">3. Government Engagement Program</w:t>
      </w:r>
    </w:p>
    <w:p>
      <w:pPr>
        <w:pStyle w:val="FirstParagraph"/>
      </w:pPr>
      <w:r>
        <w:t xml:space="preserve">Direct outreach to ministries through Uzbekistan's National Research Council, offering free methodology training for state researchers. Our Academic Researcher team will develop a customized "Research Capacity Builder" toolkit aligned with the Ministry of Education's 2024 guidelines.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Uzbekistan Tashkent Focus</w:t>
            </w:r>
          </w:p>
        </w:tc>
      </w:tr>
      <w:tr>
        <w:tc>
          <w:tcPr/>
          <w:p>
            <w:pPr>
              <w:pStyle w:val="Compact"/>
              <w:jc w:val="left"/>
            </w:pPr>
            <w:r>
              <w:t xml:space="preserve">Q1 2024</w:t>
            </w:r>
          </w:p>
        </w:tc>
        <w:tc>
          <w:tcPr/>
          <w:p>
            <w:pPr>
              <w:pStyle w:val="Compact"/>
              <w:jc w:val="left"/>
            </w:pPr>
            <w:r>
              <w:t xml:space="preserve">Lay foundations: Localize service packages; Build Tashkent-based research team</w:t>
            </w:r>
          </w:p>
        </w:tc>
        <w:tc>
          <w:tcPr/>
          <w:p>
            <w:pPr>
              <w:pStyle w:val="Compact"/>
              <w:jc w:val="left"/>
            </w:pPr>
            <w:r>
              <w:t xml:space="preserve">Hire Uzbek-speaking researchers from Tashkent universities; Develop Uzbek-language service brochures</w:t>
            </w:r>
          </w:p>
        </w:tc>
      </w:tr>
      <w:tr>
        <w:tc>
          <w:tcPr/>
          <w:p>
            <w:pPr>
              <w:pStyle w:val="Compact"/>
              <w:jc w:val="left"/>
            </w:pPr>
            <w:r>
              <w:t xml:space="preserve">Q2 2024</w:t>
            </w:r>
          </w:p>
        </w:tc>
        <w:tc>
          <w:tcPr/>
          <w:p>
            <w:pPr>
              <w:pStyle w:val="Compact"/>
              <w:jc w:val="left"/>
            </w:pPr>
            <w:r>
              <w:t xml:space="preserve">Institutional partnerships launch; Digital presence activation</w:t>
            </w:r>
          </w:p>
        </w:tc>
        <w:tc>
          <w:tcPr/>
          <w:p>
            <w:pPr>
              <w:pStyle w:val="Compact"/>
              <w:jc w:val="left"/>
            </w:pPr>
            <w:r>
              <w:t xml:space="preserve">Onboard first university partners (Tashkent State University, ITI); Launch Uzbek research case studies on website</w:t>
            </w:r>
          </w:p>
        </w:tc>
      </w:tr>
      <w:tr>
        <w:tc>
          <w:tcPr/>
          <w:p>
            <w:pPr>
              <w:pStyle w:val="Compact"/>
              <w:jc w:val="left"/>
            </w:pPr>
            <w:r>
              <w:t xml:space="preserve">Q3 2024</w:t>
            </w:r>
          </w:p>
        </w:tc>
        <w:tc>
          <w:tcPr/>
          <w:p>
            <w:pPr>
              <w:pStyle w:val="Compact"/>
              <w:jc w:val="left"/>
            </w:pPr>
            <w:r>
              <w:t xml:space="preserve">Government engagement program rollout; First major project delivery</w:t>
            </w:r>
          </w:p>
        </w:tc>
        <w:tc>
          <w:tcPr/>
          <w:p>
            <w:pPr>
              <w:pStyle w:val="Compact"/>
              <w:jc w:val="left"/>
            </w:pPr>
            <w:r>
              <w:t xml:space="preserve">Pilot program with Ministry of Education; Deliver first policy research for Tashkent-based corporation</w:t>
            </w:r>
          </w:p>
        </w:tc>
      </w:tr>
      <w:tr>
        <w:tc>
          <w:tcPr/>
          <w:p>
            <w:pPr>
              <w:pStyle w:val="Compact"/>
              <w:jc w:val="left"/>
            </w:pPr>
            <w:r>
              <w:t xml:space="preserve">Q1 2025</w:t>
            </w:r>
          </w:p>
        </w:tc>
        <w:tc>
          <w:tcPr/>
          <w:p>
            <w:pPr>
              <w:pStyle w:val="Compact"/>
              <w:jc w:val="left"/>
            </w:pPr>
            <w:r>
              <w:t xml:space="preserve">Scale successful models; Expand corporate client base</w:t>
            </w:r>
          </w:p>
        </w:tc>
        <w:tc>
          <w:tcPr/>
          <w:p>
            <w:pPr>
              <w:pStyle w:val="Compact"/>
              <w:jc w:val="left"/>
            </w:pPr>
            <w:r>
              <w:t xml:space="preserve">Replicate model across all major universities in Tashkent; Secure 3 multinational contracts</w:t>
            </w:r>
          </w:p>
        </w:tc>
      </w:tr>
    </w:tbl>
    <w:bookmarkEnd w:id="28"/>
    <w:bookmarkStart w:id="29" w:name="measurement-evaluation"/>
    <w:p>
      <w:pPr>
        <w:pStyle w:val="Heading2"/>
      </w:pPr>
      <w:r>
        <w:t xml:space="preserve">Measurement &amp; Evaluation</w:t>
      </w:r>
    </w:p>
    <w:p>
      <w:pPr>
        <w:pStyle w:val="FirstParagraph"/>
      </w:pPr>
      <w:r>
        <w:t xml:space="preserve">We'll track success through three metrics aligned with Uzbekistan's academic priorities:</w:t>
      </w:r>
    </w:p>
    <w:p>
      <w:pPr>
        <w:numPr>
          <w:ilvl w:val="0"/>
          <w:numId w:val="1005"/>
        </w:numPr>
        <w:pStyle w:val="Compact"/>
      </w:pPr>
      <w:r>
        <w:rPr>
          <w:bCs/>
          <w:b/>
        </w:rPr>
        <w:t xml:space="preserve">Academic Impact:</w:t>
      </w:r>
      <w:r>
        <w:t xml:space="preserve"> </w:t>
      </w:r>
      <w:r>
        <w:t xml:space="preserve">Number of publications co-authored with Tashkent institutions in Scopus-indexed journals (Target: 15+ by end of Year 2)</w:t>
      </w:r>
    </w:p>
    <w:p>
      <w:pPr>
        <w:numPr>
          <w:ilvl w:val="0"/>
          <w:numId w:val="1005"/>
        </w:numPr>
        <w:pStyle w:val="Compact"/>
      </w:pPr>
      <w:r>
        <w:rPr>
          <w:bCs/>
          <w:b/>
        </w:rPr>
        <w:t xml:space="preserve">Institutional Adoption:</w:t>
      </w:r>
      <w:r>
        <w:t xml:space="preserve"> </w:t>
      </w:r>
      <w:r>
        <w:t xml:space="preserve">% growth in university partnership contracts (Target: 30% increase annually)</w:t>
      </w:r>
    </w:p>
    <w:p>
      <w:pPr>
        <w:numPr>
          <w:ilvl w:val="0"/>
          <w:numId w:val="1005"/>
        </w:numPr>
        <w:pStyle w:val="Compact"/>
      </w:pPr>
      <w:r>
        <w:rPr>
          <w:bCs/>
          <w:b/>
        </w:rPr>
        <w:t xml:space="preserve">Policy Influence:</w:t>
      </w:r>
      <w:r>
        <w:t xml:space="preserve"> </w:t>
      </w:r>
      <w:r>
        <w:t xml:space="preserve">Number of research findings incorporated into Uzbekistan government documents (Target: 5+ annual policy briefs accepted by ministries)</w:t>
      </w:r>
    </w:p>
    <w:p>
      <w:pPr>
        <w:pStyle w:val="FirstParagraph"/>
      </w:pPr>
      <w:r>
        <w:t xml:space="preserve">All metrics will be reported quarterly to our Tashkent leadership team, with adjustments made based on feedback from Uzbekistan's Research Development Agency.</w:t>
      </w:r>
    </w:p>
    <w:bookmarkEnd w:id="29"/>
    <w:bookmarkStart w:id="30" w:name="budget-considerations"/>
    <w:p>
      <w:pPr>
        <w:pStyle w:val="Heading2"/>
      </w:pPr>
      <w:r>
        <w:t xml:space="preserve">Budget Considerations</w:t>
      </w:r>
    </w:p>
    <w:p>
      <w:pPr>
        <w:pStyle w:val="FirstParagraph"/>
      </w:pPr>
      <w:r>
        <w:t xml:space="preserve">Initial investment of $85,000 allocated across:</w:t>
      </w:r>
    </w:p>
    <w:p>
      <w:pPr>
        <w:numPr>
          <w:ilvl w:val="0"/>
          <w:numId w:val="1006"/>
        </w:numPr>
        <w:pStyle w:val="Compact"/>
      </w:pPr>
      <w:r>
        <w:t xml:space="preserve">Localized team development (45%): Hiring Uzbek researchers for fieldwork in Tashkent</w:t>
      </w:r>
    </w:p>
    <w:p>
      <w:pPr>
        <w:numPr>
          <w:ilvl w:val="0"/>
          <w:numId w:val="1006"/>
        </w:numPr>
        <w:pStyle w:val="Compact"/>
      </w:pPr>
      <w:r>
        <w:t xml:space="preserve">Digital marketing (35%): Creating Uzbek-language content and SEO optimization for local search engines</w:t>
      </w:r>
    </w:p>
    <w:p>
      <w:pPr>
        <w:numPr>
          <w:ilvl w:val="0"/>
          <w:numId w:val="1006"/>
        </w:numPr>
        <w:pStyle w:val="Compact"/>
      </w:pPr>
      <w:r>
        <w:t xml:space="preserve">Partnership initiatives (20%): Event hosting at Tashkent venues like the International Research Center</w:t>
      </w:r>
    </w:p>
    <w:p>
      <w:pPr>
        <w:pStyle w:val="FirstParagraph"/>
      </w:pPr>
      <w:r>
        <w:t xml:space="preserve">ROI projections show breakeven by Month 14, with revenue growth of 75% in Year 2 as Tashkent's research demand accelerates. Every dollar invested generates $3.20 in academic and government contracts based on market analysis from Tashkent University's Economics Department.</w:t>
      </w:r>
    </w:p>
    <w:bookmarkEnd w:id="30"/>
    <w:bookmarkStart w:id="31" w:name="conclusion"/>
    <w:p>
      <w:pPr>
        <w:pStyle w:val="Heading2"/>
      </w:pPr>
      <w:r>
        <w:t xml:space="preserve">Conclusion</w:t>
      </w:r>
    </w:p>
    <w:p>
      <w:pPr>
        <w:pStyle w:val="FirstParagraph"/>
      </w:pPr>
      <w:r>
        <w:t xml:space="preserve">This Marketing Plan positions our Academic Researcher services as indispensable to Uzbekistan Tashkent's educational transformation. By deeply embedding ourselves within the city's academic ecosystem and addressing specific research gaps identified by Uzbek institutions, we establish a sustainable leadership position that transcends typical service offerings. The plan recognizes that in Uzbekistan's context, true value isn't just in research quality but in cultural resonance and policy relevance. As Tashkent accelerates its journey toward becoming Central Asia's knowledge capital, our Academic Researcher model delivers the precise expertise needed to turn academic potential into national impact – making this Marketing Plan not merely a business strategy, but a catalyst for Uzbekistan's research renaissance.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Uzbekistan Tashkent</dc:title>
  <dc:creator/>
  <cp:keywords/>
  <dcterms:created xsi:type="dcterms:W3CDTF">2026-07-24T03:51:24Z</dcterms:created>
  <dcterms:modified xsi:type="dcterms:W3CDTF">2026-07-24T03:51:24Z</dcterms:modified>
</cp:coreProperties>
</file>

<file path=docProps/custom.xml><?xml version="1.0" encoding="utf-8"?>
<Properties xmlns="http://schemas.openxmlformats.org/officeDocument/2006/custom-properties" xmlns:vt="http://schemas.openxmlformats.org/officeDocument/2006/docPropsVTypes"/>
</file>