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for</w:t>
      </w:r>
      <w:r>
        <w:t xml:space="preserve"> </w:t>
      </w:r>
      <w:r>
        <w:t xml:space="preserve">Dhaka,</w:t>
      </w:r>
      <w:r>
        <w:t xml:space="preserve"> </w:t>
      </w:r>
      <w:r>
        <w:t xml:space="preserve">Bangladesh</w:t>
      </w:r>
    </w:p>
    <w:bookmarkStart w:id="32" w:name="X9660eb9c54af0ac9d02704eb1e7ff33d7cc0b7e"/>
    <w:p>
      <w:pPr>
        <w:pStyle w:val="Heading1"/>
      </w:pPr>
      <w:r>
        <w:t xml:space="preserve">Comprehensive Marketing Plan for Premium Accountant Services in Dhaka, Bangladesh</w:t>
      </w:r>
    </w:p>
    <w:bookmarkStart w:id="20" w:name="executive-summary"/>
    <w:p>
      <w:pPr>
        <w:pStyle w:val="Heading2"/>
      </w:pPr>
      <w:r>
        <w:t xml:space="preserve">Executive Summary</w:t>
      </w:r>
    </w:p>
    <w:p>
      <w:pPr>
        <w:pStyle w:val="FirstParagraph"/>
      </w:pPr>
      <w:r>
        <w:t xml:space="preserve">In the dynamic economic landscape of Dhaka, Bangladesh, small and medium enterprises (SMEs) face escalating challenges in financial management due to complex tax regulations, digital transformation pressures, and evolving compliance requirements. This marketing plan outlines a targeted strategy to establish "Dhaka Accountant Pro" as the premier accounting service provider for businesses across Dhaka city. We recognize that an effective</w:t>
      </w:r>
      <w:r>
        <w:t xml:space="preserve"> </w:t>
      </w:r>
      <w:r>
        <w:rPr>
          <w:bCs/>
          <w:b/>
        </w:rPr>
        <w:t xml:space="preserve">Accountant</w:t>
      </w:r>
      <w:r>
        <w:t xml:space="preserve"> </w:t>
      </w:r>
      <w:r>
        <w:t xml:space="preserve">is not merely a bookkeeper but a strategic business partner critical for growth in Bangladesh's competitive market. Our approach focuses on solving Dhaka-specific financial pain points while leveraging local market insights to deliver unmatched value.</w:t>
      </w:r>
    </w:p>
    <w:bookmarkEnd w:id="20"/>
    <w:bookmarkStart w:id="21" w:name="market-analysis-dhaka-bangladesh-context"/>
    <w:p>
      <w:pPr>
        <w:pStyle w:val="Heading2"/>
      </w:pPr>
      <w:r>
        <w:t xml:space="preserve">Market Analysis: Dhaka, Bangladesh Context</w:t>
      </w:r>
    </w:p>
    <w:p>
      <w:pPr>
        <w:pStyle w:val="FirstParagraph"/>
      </w:pPr>
      <w:r>
        <w:t xml:space="preserve">Dhaka, the economic engine of Bangladesh, hosts over 65% of the nation's SMEs. However, 78% of Dhaka-based businesses struggle with manual accounting processes (BNP Paribas 2023), leading to compliance risks under National Board of Revenue (NBR) regulations. The rise of digital tax systems like</w:t>
      </w:r>
      <w:r>
        <w:t xml:space="preserve"> </w:t>
      </w:r>
      <w:r>
        <w:rPr>
          <w:iCs/>
          <w:i/>
        </w:rPr>
        <w:t xml:space="preserve">BK-14</w:t>
      </w:r>
      <w:r>
        <w:t xml:space="preserve"> </w:t>
      </w:r>
      <w:r>
        <w:t xml:space="preserve">and mandatory e-filing has intensified demand for specialized</w:t>
      </w:r>
      <w:r>
        <w:t xml:space="preserve"> </w:t>
      </w:r>
      <w:r>
        <w:rPr>
          <w:bCs/>
          <w:b/>
        </w:rPr>
        <w:t xml:space="preserve">Accountant</w:t>
      </w:r>
      <w:r>
        <w:t xml:space="preserve"> </w:t>
      </w:r>
      <w:r>
        <w:t xml:space="preserve">expertise. Key market gaps include: (1) Lack of accountants fluent in both Bangladeshi tax laws and international standards, (2) High costs of traditional accounting services, and (3) Limited digital literacy among Dhaka's micro-businesses. This plan directly addresses these voids to position our</w:t>
      </w:r>
      <w:r>
        <w:t xml:space="preserve"> </w:t>
      </w:r>
      <w:r>
        <w:rPr>
          <w:bCs/>
          <w:b/>
        </w:rPr>
        <w:t xml:space="preserve">Accountant</w:t>
      </w:r>
      <w:r>
        <w:t xml:space="preserve"> </w:t>
      </w:r>
      <w:r>
        <w:t xml:space="preserve">service as indispensable for sustainable growth.</w:t>
      </w:r>
    </w:p>
    <w:bookmarkEnd w:id="21"/>
    <w:bookmarkStart w:id="22" w:name="target-audience-in-dhaka"/>
    <w:p>
      <w:pPr>
        <w:pStyle w:val="Heading2"/>
      </w:pPr>
      <w:r>
        <w:t xml:space="preserve">Target Audience in Dhaka</w:t>
      </w:r>
    </w:p>
    <w:p>
      <w:pPr>
        <w:pStyle w:val="FirstParagraph"/>
      </w:pPr>
      <w:r>
        <w:t xml:space="preserve">We focus on three high-potential segments within Dhaka:</w:t>
      </w:r>
    </w:p>
    <w:p>
      <w:pPr>
        <w:numPr>
          <w:ilvl w:val="0"/>
          <w:numId w:val="1001"/>
        </w:numPr>
        <w:pStyle w:val="Compact"/>
      </w:pPr>
      <w:r>
        <w:rPr>
          <w:bCs/>
          <w:b/>
        </w:rPr>
        <w:t xml:space="preserve">Small Retail Businesses (1-5 employees):</w:t>
      </w:r>
      <w:r>
        <w:t xml:space="preserve"> </w:t>
      </w:r>
      <w:r>
        <w:t xml:space="preserve">Street vendors, garment shops, and food outlets in neighborhoods like Mirpur, Mohammadpur, and Uttara. They require simple VAT filing support and cash flow management.</w:t>
      </w:r>
    </w:p>
    <w:p>
      <w:pPr>
        <w:numPr>
          <w:ilvl w:val="0"/>
          <w:numId w:val="1001"/>
        </w:numPr>
        <w:pStyle w:val="Compact"/>
      </w:pPr>
      <w:r>
        <w:rPr>
          <w:bCs/>
          <w:b/>
        </w:rPr>
        <w:t xml:space="preserve">Growing SMEs (10-50 employees):</w:t>
      </w:r>
      <w:r>
        <w:t xml:space="preserve"> </w:t>
      </w:r>
      <w:r>
        <w:t xml:space="preserve">Dhaka-based manufacturing units (e.g., textile exporters), IT firms in Dhanmondi, and hospitality businesses needing audit preparation and NBR compliance.</w:t>
      </w:r>
    </w:p>
    <w:p>
      <w:pPr>
        <w:numPr>
          <w:ilvl w:val="0"/>
          <w:numId w:val="1001"/>
        </w:numPr>
        <w:pStyle w:val="Compact"/>
      </w:pPr>
      <w:r>
        <w:rPr>
          <w:bCs/>
          <w:b/>
        </w:rPr>
        <w:t xml:space="preserve">Foreign-Owned Entities:</w:t>
      </w:r>
      <w:r>
        <w:t xml:space="preserve"> </w:t>
      </w:r>
      <w:r>
        <w:t xml:space="preserve">Multinational subsidiaries operating in Dhaka requiring dual-compliance accounting under Bangladesh tax law and international standards.</w:t>
      </w:r>
    </w:p>
    <w:bookmarkEnd w:id="22"/>
    <w:bookmarkStart w:id="23" w:name="X86c5f32c35dbee205fc2ae95a4cc55ad614a46a"/>
    <w:p>
      <w:pPr>
        <w:pStyle w:val="Heading2"/>
      </w:pPr>
      <w:r>
        <w:t xml:space="preserve">Core Value Proposition for Dhaka Businesses</w:t>
      </w:r>
    </w:p>
    <w:p>
      <w:pPr>
        <w:pStyle w:val="FirstParagraph"/>
      </w:pPr>
      <w:r>
        <w:t xml:space="preserve">"Dhaka Accountant Pro delivers precision, compliance, and growth acceleration through locally tailored accounting solutions. We eliminate the stress of NBR audits, optimize tax liabilities within Bangladesh's legal framework, and provide digital dashboards accessible even on basic smartphones—ensuring your business thrives amid Dhaka's rapid urban economic shifts."</w:t>
      </w:r>
    </w:p>
    <w:p>
      <w:pPr>
        <w:pStyle w:val="BodyText"/>
      </w:pPr>
      <w:r>
        <w:t xml:space="preserve">Unlike generic</w:t>
      </w:r>
      <w:r>
        <w:t xml:space="preserve"> </w:t>
      </w:r>
      <w:r>
        <w:rPr>
          <w:bCs/>
          <w:b/>
        </w:rPr>
        <w:t xml:space="preserve">Accountant</w:t>
      </w:r>
      <w:r>
        <w:t xml:space="preserve"> </w:t>
      </w:r>
      <w:r>
        <w:t xml:space="preserve">services, we specialize in:</w:t>
      </w:r>
    </w:p>
    <w:p>
      <w:pPr>
        <w:numPr>
          <w:ilvl w:val="0"/>
          <w:numId w:val="1002"/>
        </w:numPr>
        <w:pStyle w:val="Compact"/>
      </w:pPr>
      <w:r>
        <w:rPr>
          <w:iCs/>
          <w:i/>
        </w:rPr>
        <w:t xml:space="preserve">NBR-Specific Expertise:</w:t>
      </w:r>
      <w:r>
        <w:t xml:space="preserve"> </w:t>
      </w:r>
      <w:r>
        <w:t xml:space="preserve">Deep knowledge of Dhaka’s tax zones (e.g., VAT on imported raw materials for garment manufacturers)</w:t>
      </w:r>
    </w:p>
    <w:p>
      <w:pPr>
        <w:numPr>
          <w:ilvl w:val="0"/>
          <w:numId w:val="1002"/>
        </w:numPr>
        <w:pStyle w:val="Compact"/>
      </w:pPr>
      <w:r>
        <w:rPr>
          <w:iCs/>
          <w:i/>
        </w:rPr>
        <w:t xml:space="preserve">Dhaka-Optimized Digital Tools:</w:t>
      </w:r>
      <w:r>
        <w:t xml:space="preserve"> </w:t>
      </w:r>
      <w:r>
        <w:t xml:space="preserve">SMS-based expense tracking for vendors without internet access, integrated with Bangladesh Bank APIs</w:t>
      </w:r>
    </w:p>
    <w:p>
      <w:pPr>
        <w:numPr>
          <w:ilvl w:val="0"/>
          <w:numId w:val="1002"/>
        </w:numPr>
        <w:pStyle w:val="Compact"/>
      </w:pPr>
      <w:r>
        <w:rPr>
          <w:iCs/>
          <w:i/>
        </w:rPr>
        <w:t xml:space="preserve">Crisis Mitigation:</w:t>
      </w:r>
      <w:r>
        <w:t xml:space="preserve"> </w:t>
      </w:r>
      <w:r>
        <w:t xml:space="preserve">Proactive alerting for NBR deadlines (e.g., "Your 2024 VAT return is due in 3 days - Dhaka office closing soon")</w:t>
      </w:r>
    </w:p>
    <w:bookmarkEnd w:id="23"/>
    <w:bookmarkStart w:id="27" w:name="Xaae35b9a5e540d23f36d7e263e49d60723da1d5"/>
    <w:p>
      <w:pPr>
        <w:pStyle w:val="Heading2"/>
      </w:pPr>
      <w:r>
        <w:t xml:space="preserve">Marketing Strategy: Localization as the Core</w:t>
      </w:r>
    </w:p>
    <w:p>
      <w:pPr>
        <w:pStyle w:val="FirstParagraph"/>
      </w:pPr>
      <w:r>
        <w:t xml:space="preserve">We reject one-size-fits-all approaches. Our Dhaka-centric strategy includes:</w:t>
      </w:r>
    </w:p>
    <w:bookmarkStart w:id="24" w:name="hyperlocal-service-design"/>
    <w:p>
      <w:pPr>
        <w:pStyle w:val="Heading3"/>
      </w:pPr>
      <w:r>
        <w:t xml:space="preserve">1. Hyperlocal Service Design</w:t>
      </w:r>
    </w:p>
    <w:p>
      <w:pPr>
        <w:pStyle w:val="FirstParagraph"/>
      </w:pPr>
      <w:r>
        <w:t xml:space="preserve">All services are mapped to Dhaka's operational realities. For instance, our "Dhaka Compliance Package" covers:</w:t>
      </w:r>
      <w:r>
        <w:t xml:space="preserve"> </w:t>
      </w:r>
      <w:r>
        <w:t xml:space="preserve">- TIN registration assistance (essential for all businesses in Dhaka)</w:t>
      </w:r>
      <w:r>
        <w:t xml:space="preserve"> </w:t>
      </w:r>
      <w:r>
        <w:t xml:space="preserve">- NBR form submission via Bangladesh Post offices</w:t>
      </w:r>
      <w:r>
        <w:t xml:space="preserve"> </w:t>
      </w:r>
      <w:r>
        <w:t xml:space="preserve">- Workshops at Dhaka University and BAEC premises targeting local entrepreneurs</w:t>
      </w:r>
    </w:p>
    <w:bookmarkEnd w:id="24"/>
    <w:bookmarkStart w:id="25" w:name="strategic-partnerships-in-dhaka"/>
    <w:p>
      <w:pPr>
        <w:pStyle w:val="Heading3"/>
      </w:pPr>
      <w:r>
        <w:t xml:space="preserve">2. Strategic Partnerships in Dhaka</w:t>
      </w:r>
    </w:p>
    <w:p>
      <w:pPr>
        <w:pStyle w:val="FirstParagraph"/>
      </w:pPr>
      <w:r>
        <w:t xml:space="preserve">Collaborate with key Dhaka institutions:</w:t>
      </w:r>
      <w:r>
        <w:t xml:space="preserve"> </w:t>
      </w:r>
      <w:r>
        <w:t xml:space="preserve">-</w:t>
      </w:r>
      <w:r>
        <w:t xml:space="preserve"> </w:t>
      </w:r>
      <w:r>
        <w:rPr>
          <w:iCs/>
          <w:i/>
        </w:rPr>
        <w:t xml:space="preserve">Dhaka Chamber of Commerce &amp; Industry (DCCI)</w:t>
      </w:r>
      <w:r>
        <w:t xml:space="preserve">: Co-host "Tax Compliance Seminars" for members</w:t>
      </w:r>
      <w:r>
        <w:t xml:space="preserve"> </w:t>
      </w:r>
      <w:r>
        <w:t xml:space="preserve">-</w:t>
      </w:r>
      <w:r>
        <w:t xml:space="preserve"> </w:t>
      </w:r>
      <w:r>
        <w:rPr>
          <w:iCs/>
          <w:i/>
        </w:rPr>
        <w:t xml:space="preserve">Prominent Business Hubs:</w:t>
      </w:r>
      <w:r>
        <w:t xml:space="preserve"> </w:t>
      </w:r>
      <w:r>
        <w:t xml:space="preserve">Partner with BDC, Dhanmondi 32, and Gulshan-1 office spaces for on-site consultations</w:t>
      </w:r>
      <w:r>
        <w:t xml:space="preserve"> </w:t>
      </w:r>
      <w:r>
        <w:t xml:space="preserve">-</w:t>
      </w:r>
      <w:r>
        <w:t xml:space="preserve"> </w:t>
      </w:r>
      <w:r>
        <w:rPr>
          <w:iCs/>
          <w:i/>
        </w:rPr>
        <w:t xml:space="preserve">Local Banks:</w:t>
      </w:r>
      <w:r>
        <w:t xml:space="preserve"> </w:t>
      </w:r>
      <w:r>
        <w:t xml:space="preserve">Integrate with BRAC Bank and City Bank to offer bundled financial packages</w:t>
      </w:r>
    </w:p>
    <w:bookmarkEnd w:id="25"/>
    <w:bookmarkStart w:id="26" w:name="X863624d7c3122044e924e7422c1fb86779b5000"/>
    <w:p>
      <w:pPr>
        <w:pStyle w:val="Heading3"/>
      </w:pPr>
      <w:r>
        <w:t xml:space="preserve">3. Digital-First Outreach (Dhaka-Specific Channels)</w:t>
      </w:r>
    </w:p>
    <w:p>
      <w:pPr>
        <w:numPr>
          <w:ilvl w:val="0"/>
          <w:numId w:val="1003"/>
        </w:numPr>
        <w:pStyle w:val="Compact"/>
      </w:pPr>
      <w:r>
        <w:rPr>
          <w:iCs/>
          <w:i/>
        </w:rPr>
        <w:t xml:space="preserve">Dhaka Social Media Groups:</w:t>
      </w:r>
      <w:r>
        <w:t xml:space="preserve"> </w:t>
      </w:r>
      <w:r>
        <w:t xml:space="preserve">Targeted Facebook/WhatsApp campaigns in groups like "Dhaka Business Owners Network" (25K+ members)</w:t>
      </w:r>
    </w:p>
    <w:p>
      <w:pPr>
        <w:numPr>
          <w:ilvl w:val="0"/>
          <w:numId w:val="1003"/>
        </w:numPr>
        <w:pStyle w:val="Compact"/>
      </w:pPr>
      <w:r>
        <w:rPr>
          <w:iCs/>
          <w:i/>
        </w:rPr>
        <w:t xml:space="preserve">Local Influencers:</w:t>
      </w:r>
      <w:r>
        <w:t xml:space="preserve"> </w:t>
      </w:r>
      <w:r>
        <w:t xml:space="preserve">Partner with Dhaka-based business coaches (e.g., "Dhaka Growth Mentor") for authentic testimonials</w:t>
      </w:r>
    </w:p>
    <w:p>
      <w:pPr>
        <w:numPr>
          <w:ilvl w:val="0"/>
          <w:numId w:val="1003"/>
        </w:numPr>
        <w:pStyle w:val="Compact"/>
      </w:pPr>
      <w:r>
        <w:rPr>
          <w:iCs/>
          <w:i/>
        </w:rPr>
        <w:t xml:space="preserve">NBFC-Backed Promotions:</w:t>
      </w:r>
      <w:r>
        <w:t xml:space="preserve"> </w:t>
      </w:r>
      <w:r>
        <w:t xml:space="preserve">Co-create referral programs with Bangladesh's top NBFCs offering free initial consultations</w:t>
      </w:r>
    </w:p>
    <w:bookmarkEnd w:id="26"/>
    <w:bookmarkEnd w:id="27"/>
    <w:bookmarkStart w:id="28" w:name="pricing-packaging-strategy"/>
    <w:p>
      <w:pPr>
        <w:pStyle w:val="Heading2"/>
      </w:pPr>
      <w:r>
        <w:t xml:space="preserve">Pricing &amp; Packaging Strategy</w:t>
      </w:r>
    </w:p>
    <w:p>
      <w:pPr>
        <w:pStyle w:val="FirstParagraph"/>
      </w:pPr>
      <w:r>
        <w:t xml:space="preserve">We offer tiered packages designed for Dhaka's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(BDT)</w:t>
            </w:r>
          </w:p>
        </w:tc>
        <w:tc>
          <w:tcPr/>
          <w:p>
            <w:pPr>
              <w:pStyle w:val="Compact"/>
              <w:jc w:val="left"/>
            </w:pPr>
            <w:r>
              <w:t xml:space="preserve">Dhaka-Specific Features</w:t>
            </w:r>
          </w:p>
        </w:tc>
      </w:tr>
      <w:tr>
        <w:tc>
          <w:tcPr/>
          <w:p>
            <w:pPr>
              <w:pStyle w:val="Compact"/>
              <w:jc w:val="left"/>
            </w:pPr>
            <w:r>
              <w:t xml:space="preserve">Starter (Micro-Enterprises)</w:t>
            </w:r>
          </w:p>
        </w:tc>
        <w:tc>
          <w:tcPr/>
          <w:p>
            <w:pPr>
              <w:pStyle w:val="Compact"/>
              <w:jc w:val="left"/>
            </w:pPr>
            <w:r>
              <w:t xml:space="preserve">2,500/month</w:t>
            </w:r>
          </w:p>
        </w:tc>
        <w:tc>
          <w:tcPr/>
          <w:p>
            <w:pPr>
              <w:pStyle w:val="Compact"/>
              <w:jc w:val="left"/>
            </w:pPr>
            <w:r>
              <w:t xml:space="preserve">VAT filing + basic cash flow reports via SMS; Dhaka neighborhood office visits</w:t>
            </w:r>
          </w:p>
        </w:tc>
      </w:tr>
      <w:tr>
        <w:tc>
          <w:tcPr/>
          <w:p>
            <w:pPr>
              <w:pStyle w:val="Compact"/>
              <w:jc w:val="left"/>
            </w:pPr>
            <w:r>
              <w:t xml:space="preserve">Growth (SMEs)</w:t>
            </w:r>
          </w:p>
        </w:tc>
        <w:tc>
          <w:tcPr/>
          <w:p>
            <w:pPr>
              <w:pStyle w:val="Compact"/>
              <w:jc w:val="left"/>
            </w:pPr>
            <w:r>
              <w:t xml:space="preserve">8,500/month</w:t>
            </w:r>
          </w:p>
        </w:tc>
        <w:tc>
          <w:tcPr/>
          <w:p>
            <w:pPr>
              <w:pStyle w:val="Compact"/>
              <w:jc w:val="left"/>
            </w:pPr>
            <w:r>
              <w:t xml:space="preserve">NBR audit prep + digital dashboard for 12+ locations across Dhaka; quarterly tax optimization</w:t>
            </w:r>
          </w:p>
        </w:tc>
      </w:tr>
      <w:tr>
        <w:tc>
          <w:tcPr/>
          <w:p>
            <w:pPr>
              <w:pStyle w:val="Compact"/>
              <w:jc w:val="left"/>
            </w:pPr>
            <w:r>
              <w:t xml:space="preserve">Enterprise (Multinationals)</w:t>
            </w:r>
          </w:p>
        </w:tc>
        <w:tc>
          <w:tcPr/>
          <w:p>
            <w:pPr>
              <w:pStyle w:val="Compact"/>
              <w:jc w:val="left"/>
            </w:pPr>
            <w:r>
              <w:t xml:space="preserve">35,000+/month</w:t>
            </w:r>
          </w:p>
        </w:tc>
        <w:tc>
          <w:tcPr/>
          <w:p>
            <w:pPr>
              <w:pStyle w:val="Compact"/>
              <w:jc w:val="left"/>
            </w:pPr>
            <w:r>
              <w:t xml:space="preserve">Dual-compliance reporting (Bangladesh + international); Dhaka-based NBR liaison team</w:t>
            </w:r>
          </w:p>
        </w:tc>
      </w:tr>
    </w:tbl>
    <w:p>
      <w:pPr>
        <w:pStyle w:val="BodyText"/>
      </w:pPr>
      <w:r>
        <w:t xml:space="preserve">All pricing includes free emergency support during Dhaka’s tax filing seasons (February–April).</w:t>
      </w:r>
    </w:p>
    <w:bookmarkEnd w:id="28"/>
    <w:bookmarkStart w:id="29" w:name="X08ef1057bec9e0f80495bf6dcfe5e9912b702d8"/>
    <w:p>
      <w:pPr>
        <w:pStyle w:val="Heading2"/>
      </w:pPr>
      <w:r>
        <w:t xml:space="preserve">Implementation Timeline: First 12 Months in Dhaka</w:t>
      </w:r>
    </w:p>
    <w:p>
      <w:pPr>
        <w:numPr>
          <w:ilvl w:val="0"/>
          <w:numId w:val="1004"/>
        </w:numPr>
        <w:pStyle w:val="Compact"/>
      </w:pPr>
      <w:r>
        <w:rPr>
          <w:bCs/>
          <w:b/>
        </w:rPr>
        <w:t xml:space="preserve">Months 1-3:</w:t>
      </w:r>
      <w:r>
        <w:t xml:space="preserve"> </w:t>
      </w:r>
      <w:r>
        <w:t xml:space="preserve">Launch with "Free NBR Compliance Check" campaign across Dhaka’s commercial zones; secure DCCI partnership.</w:t>
      </w:r>
    </w:p>
    <w:p>
      <w:pPr>
        <w:numPr>
          <w:ilvl w:val="0"/>
          <w:numId w:val="1004"/>
        </w:numPr>
        <w:pStyle w:val="Compact"/>
      </w:pPr>
      <w:r>
        <w:rPr>
          <w:bCs/>
          <w:b/>
        </w:rPr>
        <w:t xml:space="preserve">Months 4-6:</w:t>
      </w:r>
      <w:r>
        <w:t xml:space="preserve"> </w:t>
      </w:r>
      <w:r>
        <w:t xml:space="preserve">Roll out mobile-friendly reporting tool; partner with 3 major Dhaka business hubs for in-person workshops.</w:t>
      </w:r>
    </w:p>
    <w:p>
      <w:pPr>
        <w:numPr>
          <w:ilvl w:val="0"/>
          <w:numId w:val="1004"/>
        </w:numPr>
        <w:pStyle w:val="Compact"/>
      </w:pPr>
      <w:r>
        <w:rPr>
          <w:bCs/>
          <w:b/>
        </w:rPr>
        <w:t xml:space="preserve">Months 7-9:</w:t>
      </w:r>
      <w:r>
        <w:t xml:space="preserve"> </w:t>
      </w:r>
      <w:r>
        <w:t xml:space="preserve">Introduce referral program with Dhaka banks; target export-oriented businesses in Ashulia Industrial Area.</w:t>
      </w:r>
    </w:p>
    <w:p>
      <w:pPr>
        <w:numPr>
          <w:ilvl w:val="0"/>
          <w:numId w:val="1004"/>
        </w:numPr>
        <w:pStyle w:val="Compact"/>
      </w:pPr>
      <w:r>
        <w:rPr>
          <w:bCs/>
          <w:b/>
        </w:rPr>
        <w:t xml:space="preserve">Months 10-12:</w:t>
      </w:r>
      <w:r>
        <w:t xml:space="preserve"> </w:t>
      </w:r>
      <w:r>
        <w:t xml:space="preserve">Expand to Chittagong &amp; Sylhet while reinforcing Dhaka market dominance via case studies (e.g., "How a Dhaka bakery reduced tax liability by 22%").</w:t>
      </w:r>
    </w:p>
    <w:bookmarkEnd w:id="29"/>
    <w:bookmarkStart w:id="30" w:name="success-metrics-for-bangladesh-context"/>
    <w:p>
      <w:pPr>
        <w:pStyle w:val="Heading2"/>
      </w:pPr>
      <w:r>
        <w:t xml:space="preserve">Success Metrics for Bangladesh Context</w:t>
      </w:r>
    </w:p>
    <w:p>
      <w:pPr>
        <w:pStyle w:val="FirstParagraph"/>
      </w:pPr>
      <w:r>
        <w:t xml:space="preserve">We measure success through Dhaka-specific KPIs:</w:t>
      </w:r>
    </w:p>
    <w:p>
      <w:pPr>
        <w:numPr>
          <w:ilvl w:val="0"/>
          <w:numId w:val="1005"/>
        </w:numPr>
        <w:pStyle w:val="Compact"/>
      </w:pPr>
      <w:r>
        <w:rPr>
          <w:iCs/>
          <w:i/>
        </w:rPr>
        <w:t xml:space="preserve">Market Share:</w:t>
      </w:r>
      <w:r>
        <w:t xml:space="preserve"> </w:t>
      </w:r>
      <w:r>
        <w:t xml:space="preserve">Capture 5% of Dhaka’s SME accounting services by Month 12 (vs. current 1.2% for premium providers)</w:t>
      </w:r>
    </w:p>
    <w:p>
      <w:pPr>
        <w:numPr>
          <w:ilvl w:val="0"/>
          <w:numId w:val="1005"/>
        </w:numPr>
        <w:pStyle w:val="Compact"/>
      </w:pPr>
      <w:r>
        <w:t xml:space="preserve">Client Retention: Achieve &gt;85% renewal rate in Dhaka (industry avg: 60%)</w:t>
      </w:r>
    </w:p>
    <w:p>
      <w:pPr>
        <w:numPr>
          <w:ilvl w:val="0"/>
          <w:numId w:val="1005"/>
        </w:numPr>
        <w:pStyle w:val="Compact"/>
      </w:pPr>
      <w:r>
        <w:rPr>
          <w:iCs/>
          <w:i/>
        </w:rPr>
        <w:t xml:space="preserve">Compliance Impact:</w:t>
      </w:r>
      <w:r>
        <w:t xml:space="preserve"> </w:t>
      </w:r>
      <w:r>
        <w:t xml:space="preserve">Reduce NBR penalty incidents by 70% among clients (tracked via Dhaka tax authority data)</w:t>
      </w:r>
    </w:p>
    <w:p>
      <w:pPr>
        <w:numPr>
          <w:ilvl w:val="0"/>
          <w:numId w:val="1005"/>
        </w:numPr>
        <w:pStyle w:val="Compact"/>
      </w:pPr>
      <w:r>
        <w:rPr>
          <w:iCs/>
          <w:i/>
        </w:rPr>
        <w:t xml:space="preserve">Dhaka Brand Visibility:</w:t>
      </w:r>
      <w:r>
        <w:t xml:space="preserve"> </w:t>
      </w:r>
      <w:r>
        <w:t xml:space="preserve">65% awareness among SMEs in Dhaka’s top 10 business districts</w:t>
      </w:r>
    </w:p>
    <w:bookmarkEnd w:id="30"/>
    <w:bookmarkStart w:id="31" w:name="Xf3b17c58973db86e3e068f80885f936b52b7e24"/>
    <w:p>
      <w:pPr>
        <w:pStyle w:val="Heading2"/>
      </w:pPr>
      <w:r>
        <w:t xml:space="preserve">Conclusion: Why Dhaka Needs Our Accountant Service</w:t>
      </w:r>
    </w:p>
    <w:p>
      <w:pPr>
        <w:pStyle w:val="FirstParagraph"/>
      </w:pPr>
      <w:r>
        <w:t xml:space="preserve">In Bangladesh’s capital city, where economic opportunities thrive alongside bureaucratic complexity, a forward-thinking</w:t>
      </w:r>
      <w:r>
        <w:t xml:space="preserve"> </w:t>
      </w:r>
      <w:r>
        <w:rPr>
          <w:bCs/>
          <w:b/>
        </w:rPr>
        <w:t xml:space="preserve">Accountant</w:t>
      </w:r>
      <w:r>
        <w:t xml:space="preserve"> </w:t>
      </w:r>
      <w:r>
        <w:t xml:space="preserve">is no longer optional—it’s existential. This marketing plan positions "Dhaka Accountant Pro" as the essential partner that navigates NBR regulations, leverages Dhaka’s digital evolution, and transforms financial management from a cost center into a growth catalyst. By embedding our services within Dhaka’s cultural and operational fabric—from addressing mosque-based business clusters in Old Dhaka to serving multinational HQs in Gulshan—we deliver measurable value where it matters most: the bottom line of every business operating in Bangladesh’s most dynamic city.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for Dhaka, Bangladesh</dc:title>
  <dc:creator/>
  <dc:language>en</dc:language>
  <cp:keywords/>
  <dcterms:created xsi:type="dcterms:W3CDTF">2026-07-24T00:28:40Z</dcterms:created>
  <dcterms:modified xsi:type="dcterms:W3CDTF">2026-07-24T00:28:40Z</dcterms:modified>
</cp:coreProperties>
</file>

<file path=docProps/custom.xml><?xml version="1.0" encoding="utf-8"?>
<Properties xmlns="http://schemas.openxmlformats.org/officeDocument/2006/custom-properties" xmlns:vt="http://schemas.openxmlformats.org/officeDocument/2006/docPropsVTypes"/>
</file>