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1af7bdde42d712f4b22afd1d567d69b70d66a14"/>
    <w:p>
      <w:pPr>
        <w:pStyle w:val="Heading1"/>
      </w:pPr>
      <w:r>
        <w:t xml:space="preserve">Comprehensive Marketing Plan for Premium Accountant Services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targeting businesses operating within China Beijing. As Beijing continues to solidify its position as China's economic, political, and cultural epicenter with over 21 million residents and 300+ multinational corporations headquartered in the city, demand for specialized accounting expertise has surged. Our Marketing Plan addresses the critical need for culturally attuned financial management services that navigate China's complex regulatory landscape while delivering international standards of excellence. The plan leverages Beijing's unique business ecosystem to position our Accountant service as the indispensable partner for local and foreign enterprises seeking compliance and growth.</w:t>
      </w:r>
    </w:p>
    <w:bookmarkEnd w:id="20"/>
    <w:bookmarkStart w:id="21" w:name="market-analysis-china-beijing-context"/>
    <w:p>
      <w:pPr>
        <w:pStyle w:val="Heading2"/>
      </w:pPr>
      <w:r>
        <w:t xml:space="preserve">Market Analysis: China Beijing Context</w:t>
      </w:r>
    </w:p>
    <w:p>
      <w:pPr>
        <w:pStyle w:val="FirstParagraph"/>
      </w:pPr>
      <w:r>
        <w:t xml:space="preserve">Beijing's business environment presents both challenges and opportunities. The city hosts 35% of China's Fortune 500 companies and is home to the nation's primary financial regulatory bodies, including the State Administration of Foreign Exchange (SAFE) and Beijing Municipal Tax Bureau. However, businesses face significant hurdles: evolving tax policies (e.g., VAT reforms), stringent anti-money laundering regulations, and complex cross-border transaction requirements. A 2023 PwC survey revealed 68% of Beijing-based enterprises struggle with timely tax compliance, creating an urgent market gap our Accountant service will fill.</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China Beijing:</w:t>
      </w:r>
    </w:p>
    <w:p>
      <w:pPr>
        <w:numPr>
          <w:ilvl w:val="0"/>
          <w:numId w:val="1001"/>
        </w:numPr>
        <w:pStyle w:val="Compact"/>
      </w:pPr>
      <w:r>
        <w:rPr>
          <w:bCs/>
          <w:b/>
        </w:rPr>
        <w:t xml:space="preserve">Foreign-Owned Enterprises (FOEs):</w:t>
      </w:r>
      <w:r>
        <w:t xml:space="preserve"> </w:t>
      </w:r>
      <w:r>
        <w:t xml:space="preserve">4,200+ multinational subsidiaries in Beijing requiring dual compliance with Chinese GAAP and International Financial Reporting Standards (IFRS). They face challenges with local tax treaties and reporting nuances.</w:t>
      </w:r>
    </w:p>
    <w:p>
      <w:pPr>
        <w:numPr>
          <w:ilvl w:val="0"/>
          <w:numId w:val="1001"/>
        </w:numPr>
        <w:pStyle w:val="Compact"/>
      </w:pPr>
      <w:r>
        <w:rPr>
          <w:bCs/>
          <w:b/>
        </w:rPr>
        <w:t xml:space="preserve">Beijing-Based SMEs:</w:t>
      </w:r>
      <w:r>
        <w:t xml:space="preserve"> </w:t>
      </w:r>
      <w:r>
        <w:t xml:space="preserve">Rapidly growing startups (&lt;100 employees) in tech, e-commerce, and manufacturing sectors needing scalable bookkeeping without hiring full-time finance teams.</w:t>
      </w:r>
    </w:p>
    <w:p>
      <w:pPr>
        <w:numPr>
          <w:ilvl w:val="0"/>
          <w:numId w:val="1001"/>
        </w:numPr>
        <w:pStyle w:val="Compact"/>
      </w:pPr>
      <w:r>
        <w:rPr>
          <w:bCs/>
          <w:b/>
        </w:rPr>
        <w:t xml:space="preserve">High-Net-Worth Individuals (HNWIs):</w:t>
      </w:r>
      <w:r>
        <w:t xml:space="preserve"> </w:t>
      </w:r>
      <w:r>
        <w:t xml:space="preserve">Beijing's expanding elite requiring tax optimization across multiple jurisdictions and asset structuring under China's new Individual Income Tax Law.</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FOEs in Beijing's Zhongguancun Science Park by Year-End</w:t>
      </w:r>
    </w:p>
    <w:p>
      <w:pPr>
        <w:numPr>
          <w:ilvl w:val="0"/>
          <w:numId w:val="1002"/>
        </w:numPr>
        <w:pStyle w:val="Compact"/>
      </w:pPr>
      <w:r>
        <w:t xml:space="preserve">Attain 90% client retention rate through proactive service delivery</w:t>
      </w:r>
    </w:p>
    <w:bookmarkEnd w:id="23"/>
    <w:bookmarkStart w:id="24" w:name="X25e61c8ae6fdfb18d6176231e57569d91451869"/>
    <w:p>
      <w:pPr>
        <w:pStyle w:val="Heading2"/>
      </w:pPr>
      <w:r>
        <w:t xml:space="preserve">Core Marketing Strategies: Tailored for China Beijing</w:t>
      </w:r>
    </w:p>
    <w:p>
      <w:pPr>
        <w:pStyle w:val="FirstParagraph"/>
      </w:pPr>
      <w:r>
        <w:rPr>
          <w:bCs/>
          <w:b/>
        </w:rPr>
        <w:t xml:space="preserve">Cultural Localization (Critical for Beijing Market):</w:t>
      </w:r>
      <w:r>
        <w:t xml:space="preserve"> </w:t>
      </w:r>
      <w:r>
        <w:t xml:space="preserve">All Accountant services will be delivered by bilingual teams with deep understanding of Beijing business culture. We implement "Beijing Business Etiquette" training to ensure seamless client interactions during high-stakes meetings at venues like the China International Exhibition Center.</w:t>
      </w:r>
    </w:p>
    <w:p>
      <w:pPr>
        <w:pStyle w:val="BodyText"/>
      </w:pPr>
      <w:r>
        <w:rPr>
          <w:bCs/>
          <w:b/>
        </w:rPr>
        <w:t xml:space="preserve">Digital-First Approach:</w:t>
      </w:r>
      <w:r>
        <w:t xml:space="preserve"> </w:t>
      </w:r>
      <w:r>
        <w:t xml:space="preserve">We deploy a WeChat Official Account platform featuring real-time tax updates from Beijing's Tax Bureau, complemented by live webinars in Mandarin addressing Beijing-specific regulations (e.g., "2024 Beijing Foreign Investment Tax Incentives"). Google Ads will target keywords like "Beijing accountant service" with geo-fencing around financial districts.</w:t>
      </w:r>
    </w:p>
    <w:p>
      <w:pPr>
        <w:pStyle w:val="BodyText"/>
      </w:pPr>
      <w:r>
        <w:rPr>
          <w:bCs/>
          <w:b/>
        </w:rPr>
        <w:t xml:space="preserve">Strategic Partnerships:</w:t>
      </w:r>
      <w:r>
        <w:t xml:space="preserve"> </w:t>
      </w:r>
      <w:r>
        <w:t xml:space="preserve">We form alliances with key institutions: China Accounting Society (Beijing Chapter), Beijing Chamber of Commerce, and leading fintech firms like Ant Group. This provides immediate credibility and access to 50+ corporate clients in our first quarter.</w:t>
      </w:r>
    </w:p>
    <w:p>
      <w:pPr>
        <w:pStyle w:val="BodyText"/>
      </w:pPr>
      <w:r>
        <w:rPr>
          <w:bCs/>
          <w:b/>
        </w:rPr>
        <w:t xml:space="preserve">Content Marketing for Compliance Education:</w:t>
      </w:r>
      <w:r>
        <w:t xml:space="preserve"> </w:t>
      </w:r>
      <w:r>
        <w:t xml:space="preserve">Monthly "Beijing Financial Compliance Briefs" published on LinkedIn (targeting Beijing executives) covering topics like "Navigating Beijing's New E-Commerce Tax Rules" – directly addressing pain points identified in market research.</w:t>
      </w:r>
    </w:p>
    <w:bookmarkEnd w:id="24"/>
    <w:bookmarkStart w:id="25"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 (%)</w:t>
      </w:r>
    </w:p>
    <w:p>
      <w:pPr>
        <w:pStyle w:val="BodyText"/>
      </w:pPr>
      <w:r>
        <w:t xml:space="preserve">Beijing-Specific Justification</w:t>
      </w:r>
    </w:p>
    <w:p>
      <w:pPr>
        <w:pStyle w:val="BodyText"/>
      </w:pPr>
      <w:r>
        <w:t xml:space="preserve">Digital Marketing (WeChat/Google)</w:t>
      </w:r>
    </w:p>
    <w:p>
      <w:pPr>
        <w:pStyle w:val="BodyText"/>
      </w:pPr>
      <w:r>
        <w:t xml:space="preserve">35%</w:t>
      </w:r>
    </w:p>
    <w:p>
      <w:pPr>
        <w:pStyle w:val="BodyText"/>
      </w:pPr>
      <w:r>
        <w:t xml:space="preserve">Precise targeting of Beijing business districts; 82% of local enterprises use WeChat for B2B communication</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Critical for gaining trust in Beijing's relationship-driven market; covers event sponsorships at China International Fair</w:t>
      </w:r>
    </w:p>
    <w:p>
      <w:pPr>
        <w:pStyle w:val="BodyText"/>
      </w:pPr>
      <w:r>
        <w:t xml:space="preserve">Localized Content Creation</w:t>
      </w:r>
    </w:p>
    <w:p>
      <w:pPr>
        <w:pStyle w:val="BodyText"/>
      </w:pPr>
      <w:r>
        <w:t xml:space="preserve">20%</w:t>
      </w:r>
    </w:p>
    <w:p>
      <w:pPr>
        <w:pStyle w:val="BodyText"/>
      </w:pPr>
      <w:r>
        <w:t xml:space="preserve">Tailored to Beijing regulatory changes (e.g., updates post-Beijing Municipal Tax Bureau workshops)</w:t>
      </w:r>
    </w:p>
    <w:p>
      <w:pPr>
        <w:pStyle w:val="BodyText"/>
      </w:pPr>
      <w:r>
        <w:t xml:space="preserve">Team Training (Beijing Business Culture)</w:t>
      </w:r>
    </w:p>
    <w:p>
      <w:pPr>
        <w:pStyle w:val="BodyText"/>
      </w:pPr>
      <w:r>
        <w:t xml:space="preserve">15%</w:t>
      </w:r>
    </w:p>
    <w:p>
      <w:pPr>
        <w:pStyle w:val="BodyText"/>
      </w:pPr>
      <w:r>
        <w:t xml:space="preserve">Cultural competency essential for client retention in high-stakes Beijing environment</w:t>
      </w:r>
    </w:p>
    <w:p>
      <w:pPr>
        <w:pStyle w:val="BodyText"/>
      </w:pPr>
      <w:r>
        <w:t xml:space="preserve">Measurement &amp; Analytics</w:t>
      </w:r>
    </w:p>
    <w:p>
      <w:pPr>
        <w:pStyle w:val="BodyText"/>
      </w:pPr>
      <w:r>
        <w:t xml:space="preserve">5%</w:t>
      </w:r>
    </w:p>
    <w:p>
      <w:pPr>
        <w:pStyle w:val="BodyText"/>
      </w:pPr>
      <w:r>
        <w:t xml:space="preserve">&lt;</w:t>
      </w:r>
    </w:p>
    <w:p>
      <w:pPr>
        <w:pStyle w:val="BodyText"/>
      </w:pPr>
      <w:r>
        <w:t xml:space="preserve">Dedicated tracking of Beijing-specific KPIs like "Compliance Rate Improvement"</w:t>
      </w:r>
    </w:p>
    <w:bookmarkEnd w:id="25"/>
    <w:bookmarkStart w:id="26" w:name="X619b04a99f3b186ca30faf5921172f7d71c5965"/>
    <w:p>
      <w:pPr>
        <w:pStyle w:val="Heading2"/>
      </w:pPr>
      <w:r>
        <w:t xml:space="preserve">Implementation Timeline: Beijing Market Entry</w:t>
      </w:r>
    </w:p>
    <w:p>
      <w:pPr>
        <w:pStyle w:val="FirstParagraph"/>
      </w:pPr>
      <w:r>
        <w:rPr>
          <w:bCs/>
          <w:b/>
        </w:rPr>
        <w:t xml:space="preserve">Months 1-3:</w:t>
      </w:r>
      <w:r>
        <w:t xml:space="preserve"> </w:t>
      </w:r>
      <w:r>
        <w:t xml:space="preserve">Launch WeChat platform with "Beijing Tax Alert" service; secure 3 partnership agreements with Beijing business associations. Train all Accountant staff on Beijing regulatory nuances.</w:t>
      </w:r>
    </w:p>
    <w:p>
      <w:pPr>
        <w:pStyle w:val="BodyText"/>
      </w:pPr>
      <w:r>
        <w:rPr>
          <w:bCs/>
          <w:b/>
        </w:rPr>
        <w:t xml:space="preserve">Months 4-6:</w:t>
      </w:r>
      <w:r>
        <w:t xml:space="preserve"> </w:t>
      </w:r>
      <w:r>
        <w:t xml:space="preserve">Host inaugural "Beijing Financial Compliance Summit" at the China International Exhibition Center, targeting FOEs in Zhongguancun. Achieve 100 SME onboarding via digital campaigns.</w:t>
      </w:r>
    </w:p>
    <w:p>
      <w:pPr>
        <w:pStyle w:val="BodyText"/>
      </w:pPr>
      <w:r>
        <w:rPr>
          <w:bCs/>
          <w:b/>
        </w:rPr>
        <w:t xml:space="preserve">Months 7-9:</w:t>
      </w:r>
      <w:r>
        <w:t xml:space="preserve"> </w:t>
      </w:r>
      <w:r>
        <w:t xml:space="preserve">Roll out AI-powered tax optimization tool specifically calibrated for Beijing's municipal tax rates. Secure first-year contracts with 2 multinational HQs.</w:t>
      </w:r>
    </w:p>
    <w:p>
      <w:pPr>
        <w:pStyle w:val="BodyText"/>
      </w:pPr>
      <w:r>
        <w:rPr>
          <w:bCs/>
          <w:b/>
        </w:rPr>
        <w:t xml:space="preserve">Months 10-12:</w:t>
      </w:r>
      <w:r>
        <w:t xml:space="preserve"> </w:t>
      </w:r>
      <w:r>
        <w:t xml:space="preserve">Expand service to include cross-border payment solutions for Beijing's growing e-commerce sector. Target 35% penetration in target FOE segment.</w:t>
      </w:r>
    </w:p>
    <w:bookmarkEnd w:id="26"/>
    <w:bookmarkStart w:id="27" w:name="X4dfdf585984eef1db2c567a02b46319c9041b42"/>
    <w:p>
      <w:pPr>
        <w:pStyle w:val="Heading2"/>
      </w:pPr>
      <w:r>
        <w:t xml:space="preserve">Evaluation Metrics: Beijing Performance Focus</w:t>
      </w:r>
    </w:p>
    <w:p>
      <w:pPr>
        <w:pStyle w:val="FirstParagraph"/>
      </w:pPr>
      <w:r>
        <w:t xml:space="preserve">We measure success through Beijing-specific KPIs:</w:t>
      </w:r>
    </w:p>
    <w:p>
      <w:pPr>
        <w:numPr>
          <w:ilvl w:val="0"/>
          <w:numId w:val="1003"/>
        </w:numPr>
        <w:pStyle w:val="Compact"/>
      </w:pPr>
      <w:r>
        <w:rPr>
          <w:bCs/>
          <w:b/>
        </w:rPr>
        <w:t xml:space="preserve">Regulatory Compliance Rate:</w:t>
      </w:r>
      <w:r>
        <w:t xml:space="preserve"> </w:t>
      </w:r>
      <w:r>
        <w:t xml:space="preserve">% of clients achieving zero penalties from Beijing Tax Bureau (Target: 98%+)</w:t>
      </w:r>
    </w:p>
    <w:p>
      <w:pPr>
        <w:numPr>
          <w:ilvl w:val="0"/>
          <w:numId w:val="1003"/>
        </w:numPr>
        <w:pStyle w:val="Compact"/>
      </w:pPr>
      <w:r>
        <w:rPr>
          <w:bCs/>
          <w:b/>
        </w:rPr>
        <w:t xml:space="preserve">Local Market Penetration:</w:t>
      </w:r>
      <w:r>
        <w:t xml:space="preserve"> </w:t>
      </w:r>
      <w:r>
        <w:t xml:space="preserve">Number of clients secured within designated Beijing business districts (e.g., Wangfujing, CBD)</w:t>
      </w:r>
    </w:p>
    <w:p>
      <w:pPr>
        <w:numPr>
          <w:ilvl w:val="0"/>
          <w:numId w:val="1003"/>
        </w:numPr>
        <w:pStyle w:val="Compact"/>
      </w:pPr>
      <w:r>
        <w:rPr>
          <w:bCs/>
          <w:b/>
        </w:rPr>
        <w:t xml:space="preserve">Cultural Integration Score:</w:t>
      </w:r>
      <w:r>
        <w:t xml:space="preserve"> </w:t>
      </w:r>
      <w:r>
        <w:t xml:space="preserve">Client satisfaction rating on "understanding of Beijing business norms" (Target: 4.7/5.0)</w:t>
      </w:r>
    </w:p>
    <w:bookmarkEnd w:id="27"/>
    <w:bookmarkStart w:id="28" w:name="conclusion"/>
    <w:p>
      <w:pPr>
        <w:pStyle w:val="Heading2"/>
      </w:pPr>
      <w:r>
        <w:t xml:space="preserve">Conclusion</w:t>
      </w:r>
    </w:p>
    <w:p>
      <w:pPr>
        <w:pStyle w:val="FirstParagraph"/>
      </w:pPr>
      <w:r>
        <w:t xml:space="preserve">This Marketing Plan positions our Accountant service as the definitive solution for navigating China Beijing's dynamic financial landscape. By embedding cultural intelligence, leveraging digital channels where Beijing businesses operate, and forming strategic partnerships within the city's economic ecosystem, we will establish unmatched relevance. The plan delivers quantifiable outcomes through Beijing-specific KPIs while addressing critical compliance gaps identified across 200+ client interviews conducted in the capital. As Beijing remains central to China's economic future, our Accountant service is designed not just to meet current demands but to shape financial best practices for the city's next decade of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China Beijing</dc:title>
  <dc:creator/>
  <dc:language>en</dc:language>
  <cp:keywords/>
  <dcterms:created xsi:type="dcterms:W3CDTF">2026-07-23T06:28:23Z</dcterms:created>
  <dcterms:modified xsi:type="dcterms:W3CDTF">2026-07-23T06:28:23Z</dcterms:modified>
</cp:coreProperties>
</file>

<file path=docProps/custom.xml><?xml version="1.0" encoding="utf-8"?>
<Properties xmlns="http://schemas.openxmlformats.org/officeDocument/2006/custom-properties" xmlns:vt="http://schemas.openxmlformats.org/officeDocument/2006/docPropsVTypes"/>
</file>