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8" w:name="Xda52d7984154db17c8c384d00accb66fe512513"/>
    <w:p>
      <w:pPr>
        <w:pStyle w:val="Heading1"/>
      </w:pPr>
      <w:r>
        <w:t xml:space="preserve">Comprehensive Marketing Plan for Premium Accountant Services in Germany Frankfurt</w:t>
      </w:r>
    </w:p>
    <w:bookmarkStart w:id="20" w:name="executive-summary"/>
    <w:p>
      <w:pPr>
        <w:pStyle w:val="Heading2"/>
      </w:pPr>
      <w:r>
        <w:t xml:space="preserve">Executive Summary</w:t>
      </w:r>
    </w:p>
    <w:p>
      <w:pPr>
        <w:pStyle w:val="FirstParagraph"/>
      </w:pPr>
      <w:r>
        <w:t xml:space="preserve">This Marketing Plan details a strategic approach to establish and grow a leading accountant service provider within the competitive financial landscape of Germany Frankfurt. As one of Europe's premier financial hubs, Frankfurt hosts the European Central Bank, major multinational corporations, and a dense network of SMEs requiring sophisticated accounting solutions. Our strategy leverages local market intelligence to position our Accountant services as indispensable for businesses navigating Germany's complex tax regulations and international trade dynamics. This Marketing Plan outlines actionable steps to capture 15% market share among mid-sized enterprises in Frankfurt within three years, prioritizing digital transformation, regulatory expertise, and hyper-localized client engagement.</w:t>
      </w:r>
    </w:p>
    <w:bookmarkEnd w:id="20"/>
    <w:bookmarkStart w:id="21" w:name="Xc7ec880902e2b24a39d068867a065717762a3b8"/>
    <w:p>
      <w:pPr>
        <w:pStyle w:val="Heading2"/>
      </w:pPr>
      <w:r>
        <w:t xml:space="preserve">Market Analysis: Germany Frankfurt Context</w:t>
      </w:r>
    </w:p>
    <w:p>
      <w:pPr>
        <w:pStyle w:val="FirstParagraph"/>
      </w:pPr>
      <w:r>
        <w:t xml:space="preserve">Frankfurt’s economy is uniquely positioned as Germany's financial capital. The city hosts 13 of Europe's top 50 banks and over 300 financial institutions, creating exceptional demand for specialized Accountant services. Key market drivers include:</w:t>
      </w:r>
    </w:p>
    <w:p>
      <w:pPr>
        <w:numPr>
          <w:ilvl w:val="0"/>
          <w:numId w:val="1001"/>
        </w:numPr>
        <w:pStyle w:val="Compact"/>
      </w:pPr>
      <w:r>
        <w:rPr>
          <w:bCs/>
          <w:b/>
        </w:rPr>
        <w:t xml:space="preserve">Regulatory Complexity:</w:t>
      </w:r>
      <w:r>
        <w:t xml:space="preserve"> </w:t>
      </w:r>
      <w:r>
        <w:t xml:space="preserve">Businesses operating in Germany Frankfurt must comply with strict VAT regulations (UStG), corporate tax codes (KStG), and EU directives like the 2023 Corporate Sustainability Reporting Directive (CSRD).</w:t>
      </w:r>
    </w:p>
    <w:p>
      <w:pPr>
        <w:numPr>
          <w:ilvl w:val="0"/>
          <w:numId w:val="1001"/>
        </w:numPr>
        <w:pStyle w:val="Compact"/>
      </w:pPr>
      <w:r>
        <w:rPr>
          <w:bCs/>
          <w:b/>
        </w:rPr>
        <w:t xml:space="preserve">Digital Transformation:</w:t>
      </w:r>
      <w:r>
        <w:t xml:space="preserve"> </w:t>
      </w:r>
      <w:r>
        <w:t xml:space="preserve">Frankfurt-based firms increasingly seek AI-powered accounting tools for real-time financial insights, moving beyond traditional bookkeeping.</w:t>
      </w:r>
    </w:p>
    <w:p>
      <w:pPr>
        <w:numPr>
          <w:ilvl w:val="0"/>
          <w:numId w:val="1001"/>
        </w:numPr>
        <w:pStyle w:val="Compact"/>
      </w:pPr>
      <w:r>
        <w:rPr>
          <w:bCs/>
          <w:b/>
        </w:rPr>
        <w:t xml:space="preserve">International Business Flow:</w:t>
      </w:r>
      <w:r>
        <w:t xml:space="preserve"> </w:t>
      </w:r>
      <w:r>
        <w:t xml:space="preserve">Over 60% of Frankfurt’s enterprises engage in cross-border trade, demanding Accountant expertise in international tax treaties and foreign subsidiary reporting.</w:t>
      </w:r>
    </w:p>
    <w:p>
      <w:pPr>
        <w:pStyle w:val="FirstParagraph"/>
      </w:pPr>
      <w:r>
        <w:t xml:space="preserve">The competitive landscape features established firms like PwC Frankfurt and local boutique practices. However, a significant gap exists for Accountants combining deep Germany regulatory knowledge with agile digital service delivery—precisely where our plan targets differentiation.</w:t>
      </w:r>
    </w:p>
    <w:bookmarkEnd w:id="21"/>
    <w:bookmarkStart w:id="22" w:name="X062d26b446e4e7b15e6a4d6e0a18ed6ec50f2e9"/>
    <w:p>
      <w:pPr>
        <w:pStyle w:val="Heading2"/>
      </w:pPr>
      <w:r>
        <w:t xml:space="preserve">Target Audience: Precision-Defined Segments in Germany Frankfurt</w:t>
      </w:r>
    </w:p>
    <w:p>
      <w:pPr>
        <w:pStyle w:val="FirstParagraph"/>
      </w:pPr>
      <w:r>
        <w:t xml:space="preserve">We segment our ideal clients within the Frankfurt market as follows:</w:t>
      </w:r>
    </w:p>
    <w:p>
      <w:pPr>
        <w:numPr>
          <w:ilvl w:val="0"/>
          <w:numId w:val="1002"/>
        </w:numPr>
        <w:pStyle w:val="Compact"/>
      </w:pPr>
      <w:r>
        <w:rPr>
          <w:bCs/>
          <w:b/>
        </w:rPr>
        <w:t xml:space="preserve">Mid-Market German SMEs (30–200 employees):</w:t>
      </w:r>
      <w:r>
        <w:t xml:space="preserve"> </w:t>
      </w:r>
      <w:r>
        <w:t xml:space="preserve">Local manufacturers and service firms needing compliant payroll, VAT management, and statutory reporting. They prioritize reliability over cost.</w:t>
      </w:r>
    </w:p>
    <w:p>
      <w:pPr>
        <w:numPr>
          <w:ilvl w:val="0"/>
          <w:numId w:val="1002"/>
        </w:numPr>
        <w:pStyle w:val="Compact"/>
      </w:pPr>
      <w:r>
        <w:rPr>
          <w:bCs/>
          <w:b/>
        </w:rPr>
        <w:t xml:space="preserve">International Startups in Frankfurt:</w:t>
      </w:r>
      <w:r>
        <w:t xml:space="preserve"> </w:t>
      </w:r>
      <w:r>
        <w:t xml:space="preserve">EU expansion-focused tech companies requiring German tax residency setup, GmbH structuring, and EU compliance support.</w:t>
      </w:r>
    </w:p>
    <w:p>
      <w:pPr>
        <w:numPr>
          <w:ilvl w:val="0"/>
          <w:numId w:val="1002"/>
        </w:numPr>
        <w:pStyle w:val="Compact"/>
      </w:pPr>
      <w:r>
        <w:rPr>
          <w:bCs/>
          <w:b/>
        </w:rPr>
        <w:t xml:space="preserve">Multinational Subsidiaries (Headquartered outside Germany):</w:t>
      </w:r>
      <w:r>
        <w:t xml:space="preserve"> </w:t>
      </w:r>
      <w:r>
        <w:t xml:space="preserve">Foreign-owned entities in Frankfurt needing consolidated reporting under German GAAP and coordination with global finance teams.</w:t>
      </w:r>
    </w:p>
    <w:p>
      <w:pPr>
        <w:pStyle w:val="FirstParagraph"/>
      </w:pPr>
      <w:r>
        <w:t xml:space="preserve">These segments represent over 40,000 businesses in Frankfurt alone, all requiring specialized Accountant services to operate legally and profitably within Germany’s stringent framework.</w:t>
      </w:r>
    </w:p>
    <w:bookmarkEnd w:id="22"/>
    <w:bookmarkStart w:id="23" w:name="X26a6000fd156b6eccc52b4f6b5a6aadf7a542c9"/>
    <w:p>
      <w:pPr>
        <w:pStyle w:val="Heading2"/>
      </w:pPr>
      <w:r>
        <w:t xml:space="preserve">Service Offerings Tailored for Frankfurt's Demands</w:t>
      </w:r>
    </w:p>
    <w:p>
      <w:pPr>
        <w:pStyle w:val="FirstParagraph"/>
      </w:pPr>
      <w:r>
        <w:t xml:space="preserve">Beyond standard accounting, our service suite addresses Germany Frankfurt-specific pain points:</w:t>
      </w:r>
    </w:p>
    <w:p>
      <w:pPr>
        <w:numPr>
          <w:ilvl w:val="0"/>
          <w:numId w:val="1003"/>
        </w:numPr>
        <w:pStyle w:val="Compact"/>
      </w:pPr>
      <w:r>
        <w:rPr>
          <w:bCs/>
          <w:b/>
        </w:rPr>
        <w:t xml:space="preserve">EU VAT &amp; Cross-Border Tax Optimization:</w:t>
      </w:r>
      <w:r>
        <w:t xml:space="preserve"> </w:t>
      </w:r>
      <w:r>
        <w:t xml:space="preserve">Dedicated expertise in intra-EU transactions and double taxation agreements—critical for companies shipping goods through Frankfurt’s logistics hubs.</w:t>
      </w:r>
    </w:p>
    <w:p>
      <w:pPr>
        <w:numPr>
          <w:ilvl w:val="0"/>
          <w:numId w:val="1003"/>
        </w:numPr>
        <w:pStyle w:val="Compact"/>
      </w:pPr>
      <w:r>
        <w:rPr>
          <w:bCs/>
          <w:b/>
        </w:rPr>
        <w:t xml:space="preserve">DIGITAL BOOKKEEPING PLATFORMS:</w:t>
      </w:r>
      <w:r>
        <w:t xml:space="preserve"> </w:t>
      </w:r>
      <w:r>
        <w:t xml:space="preserve">Cloud-based solutions integrating with German accounting software (e.g., DATEV) for real-time financial dashboards accessible from any Frankfurt office or home.</w:t>
      </w:r>
    </w:p>
    <w:p>
      <w:pPr>
        <w:numPr>
          <w:ilvl w:val="0"/>
          <w:numId w:val="1003"/>
        </w:numPr>
        <w:pStyle w:val="Compact"/>
      </w:pPr>
      <w:r>
        <w:rPr>
          <w:bCs/>
          <w:b/>
        </w:rPr>
        <w:t xml:space="preserve">German Corporate Tax Strategy:</w:t>
      </w:r>
      <w:r>
        <w:t xml:space="preserve"> </w:t>
      </w:r>
      <w:r>
        <w:t xml:space="preserve">Advanced planning for trade tax (Gewerbesteuer) and corporate income tax in Hesse state, leveraging Frankfurt’s business-friendly municipal policies.</w:t>
      </w:r>
    </w:p>
    <w:p>
      <w:pPr>
        <w:numPr>
          <w:ilvl w:val="0"/>
          <w:numId w:val="1003"/>
        </w:numPr>
        <w:pStyle w:val="Compact"/>
      </w:pPr>
      <w:r>
        <w:rPr>
          <w:bCs/>
          <w:b/>
        </w:rPr>
        <w:t xml:space="preserve">SME Growth Advisory:</w:t>
      </w:r>
      <w:r>
        <w:t xml:space="preserve"> </w:t>
      </w:r>
      <w:r>
        <w:t xml:space="preserve">Quarterly strategy sessions focused on scaling within the Frankfurt ecosystem (e.g., navigating local grants or trade fair participation).</w:t>
      </w:r>
    </w:p>
    <w:bookmarkEnd w:id="23"/>
    <w:bookmarkStart w:id="24" w:name="competitive-differentiation-strategy"/>
    <w:p>
      <w:pPr>
        <w:pStyle w:val="Heading2"/>
      </w:pPr>
      <w:r>
        <w:t xml:space="preserve">Competitive Differentiation Strategy</w:t>
      </w:r>
    </w:p>
    <w:p>
      <w:pPr>
        <w:pStyle w:val="FirstParagraph"/>
      </w:pPr>
      <w:r>
        <w:t xml:space="preserve">We position our Accountant services as the definitive partner for businesses prioritizing regulatory accuracy and operational agility in Germany’s most dynamic city. Key differentiators include:</w:t>
      </w:r>
    </w:p>
    <w:p>
      <w:pPr>
        <w:numPr>
          <w:ilvl w:val="0"/>
          <w:numId w:val="1004"/>
        </w:numPr>
        <w:pStyle w:val="Compact"/>
      </w:pPr>
      <w:r>
        <w:rPr>
          <w:bCs/>
          <w:b/>
        </w:rPr>
        <w:t xml:space="preserve">Germany-Focused Regulatory Certifications:</w:t>
      </w:r>
      <w:r>
        <w:t xml:space="preserve"> </w:t>
      </w:r>
      <w:r>
        <w:t xml:space="preserve">All Accountants hold certifications valid across German states (e.g., Steuerberater) with specialized Frankfurt compliance training.</w:t>
      </w:r>
    </w:p>
    <w:p>
      <w:pPr>
        <w:numPr>
          <w:ilvl w:val="0"/>
          <w:numId w:val="1004"/>
        </w:numPr>
        <w:pStyle w:val="Compact"/>
      </w:pPr>
      <w:r>
        <w:rPr>
          <w:bCs/>
          <w:b/>
        </w:rPr>
        <w:t xml:space="preserve">Local Presence, Global Reach:</w:t>
      </w:r>
      <w:r>
        <w:t xml:space="preserve"> </w:t>
      </w:r>
      <w:r>
        <w:t xml:space="preserve">Physical office in Frankfurt’s financial district (Börse area), enabling face-to-face client meetings while supporting international clients via secure digital channels.</w:t>
      </w:r>
    </w:p>
    <w:p>
      <w:pPr>
        <w:numPr>
          <w:ilvl w:val="0"/>
          <w:numId w:val="1004"/>
        </w:numPr>
        <w:pStyle w:val="Compact"/>
      </w:pPr>
      <w:r>
        <w:rPr>
          <w:bCs/>
          <w:b/>
        </w:rPr>
        <w:t xml:space="preserve">Proactive Compliance Alerts:</w:t>
      </w:r>
      <w:r>
        <w:t xml:space="preserve"> </w:t>
      </w:r>
      <w:r>
        <w:t xml:space="preserve">Automated notifications for new Germany tax laws affecting Frankfurt businesses (e.g., updates to the Digital Tax Act).</w:t>
      </w:r>
    </w:p>
    <w:p>
      <w:pPr>
        <w:pStyle w:val="FirstParagraph"/>
      </w:pPr>
      <w:r>
        <w:t xml:space="preserve">This approach directly counters competitors’ generic offerings, proving our Accountant services are engineered for Frankfurt’s unique environment.</w:t>
      </w:r>
    </w:p>
    <w:bookmarkEnd w:id="24"/>
    <w:bookmarkStart w:id="25" w:name="X556c9ff7dd54b7be4a1dee603afb46eae5e1ef1"/>
    <w:p>
      <w:pPr>
        <w:pStyle w:val="Heading2"/>
      </w:pPr>
      <w:r>
        <w:t xml:space="preserve">Marketing Tactics &amp; Implementation Timeline</w:t>
      </w:r>
    </w:p>
    <w:p>
      <w:pPr>
        <w:pStyle w:val="FirstParagraph"/>
      </w:pPr>
      <w:r>
        <w:t xml:space="preserve">Our Germany Frankfurt-focused marketing strategy employs integrated channels:</w:t>
      </w:r>
    </w:p>
    <w:p>
      <w:pPr>
        <w:numPr>
          <w:ilvl w:val="0"/>
          <w:numId w:val="1005"/>
        </w:numPr>
        <w:pStyle w:val="Compact"/>
      </w:pPr>
      <w:r>
        <w:rPr>
          <w:bCs/>
          <w:b/>
        </w:rPr>
        <w:t xml:space="preserve">Hyper-Local Networking (Months 1–3):</w:t>
      </w:r>
      <w:r>
        <w:t xml:space="preserve"> </w:t>
      </w:r>
      <w:r>
        <w:t xml:space="preserve">Sponsor events at the Frankfurt Chamber of Commerce (IHK), partner with local legal firms for joint workshops on "Germany Tax Compliance for International Firms."</w:t>
      </w:r>
    </w:p>
    <w:p>
      <w:pPr>
        <w:numPr>
          <w:ilvl w:val="0"/>
          <w:numId w:val="1005"/>
        </w:numPr>
        <w:pStyle w:val="Compact"/>
      </w:pPr>
      <w:r>
        <w:rPr>
          <w:bCs/>
          <w:b/>
        </w:rPr>
        <w:t xml:space="preserve">Digital Targeting (Ongoing):</w:t>
      </w:r>
      <w:r>
        <w:t xml:space="preserve"> </w:t>
      </w:r>
      <w:r>
        <w:t xml:space="preserve">LinkedIn campaigns targeting decision-makers in Frankfurt-based companies using keywords: "accountant Germany," "Frankfurt tax services," and "compliance accountant."</w:t>
      </w:r>
    </w:p>
    <w:p>
      <w:pPr>
        <w:numPr>
          <w:ilvl w:val="0"/>
          <w:numId w:val="1005"/>
        </w:numPr>
        <w:pStyle w:val="Compact"/>
      </w:pPr>
      <w:r>
        <w:rPr>
          <w:bCs/>
          <w:b/>
        </w:rPr>
        <w:t xml:space="preserve">Content Authority Building (Months 2–6):</w:t>
      </w:r>
      <w:r>
        <w:t xml:space="preserve"> </w:t>
      </w:r>
      <w:r>
        <w:t xml:space="preserve">Publish monthly Frankfurt-specific guides ("Navigating Hesse Trade Tax 2024") on our website, optimized for German SEO terms.</w:t>
      </w:r>
    </w:p>
    <w:p>
      <w:pPr>
        <w:numPr>
          <w:ilvl w:val="0"/>
          <w:numId w:val="1005"/>
        </w:numPr>
        <w:pStyle w:val="Compact"/>
      </w:pPr>
      <w:r>
        <w:rPr>
          <w:bCs/>
          <w:b/>
        </w:rPr>
        <w:t xml:space="preserve">Client Referral Program (Month 4):</w:t>
      </w:r>
      <w:r>
        <w:t xml:space="preserve"> </w:t>
      </w:r>
      <w:r>
        <w:t xml:space="preserve">Incentivize existing Frankfurt clients with €500 credit for referrals to SMEs in the city’s financial cluster.</w:t>
      </w:r>
    </w:p>
    <w:p>
      <w:pPr>
        <w:pStyle w:val="FirstParagraph"/>
      </w:pPr>
      <w:r>
        <w:t xml:space="preserve">All tactics emphasize our Germany Frankfurt expertise—avoiding generic marketing that fails to resonate locally.</w:t>
      </w:r>
    </w:p>
    <w:bookmarkEnd w:id="25"/>
    <w:bookmarkStart w:id="26" w:name="metrics-success-measurement"/>
    <w:p>
      <w:pPr>
        <w:pStyle w:val="Heading2"/>
      </w:pPr>
      <w:r>
        <w:t xml:space="preserve">Metrics &amp; Success Measurement</w:t>
      </w:r>
    </w:p>
    <w:p>
      <w:pPr>
        <w:pStyle w:val="FirstParagraph"/>
      </w:pPr>
      <w:r>
        <w:t xml:space="preserve">We track KPIs aligned with Frankfurt market penetration:</w:t>
      </w:r>
    </w:p>
    <w:p>
      <w:pPr>
        <w:numPr>
          <w:ilvl w:val="0"/>
          <w:numId w:val="1006"/>
        </w:numPr>
        <w:pStyle w:val="Compact"/>
      </w:pPr>
      <w:r>
        <w:rPr>
          <w:bCs/>
          <w:b/>
        </w:rPr>
        <w:t xml:space="preserve">Lead Quality:</w:t>
      </w:r>
      <w:r>
        <w:t xml:space="preserve"> </w:t>
      </w:r>
      <w:r>
        <w:t xml:space="preserve">70% of leads from Frankfurt-based businesses (measured via IP geolocation).</w:t>
      </w:r>
    </w:p>
    <w:p>
      <w:pPr>
        <w:numPr>
          <w:ilvl w:val="0"/>
          <w:numId w:val="1006"/>
        </w:numPr>
        <w:pStyle w:val="Compact"/>
      </w:pPr>
      <w:r>
        <w:rPr>
          <w:bCs/>
          <w:b/>
        </w:rPr>
        <w:t xml:space="preserve">Client Acquisition Cost (CAC):</w:t>
      </w:r>
      <w:r>
        <w:t xml:space="preserve"> </w:t>
      </w:r>
      <w:r>
        <w:t xml:space="preserve">Target €2,500 per new client in Germany Frankfurt market.</w:t>
      </w:r>
    </w:p>
    <w:p>
      <w:pPr>
        <w:numPr>
          <w:ilvl w:val="0"/>
          <w:numId w:val="1006"/>
        </w:numPr>
        <w:pStyle w:val="Compact"/>
      </w:pPr>
      <w:r>
        <w:rPr>
          <w:bCs/>
          <w:b/>
        </w:rPr>
        <w:t xml:space="preserve">Satisfaction Rate:</w:t>
      </w:r>
      <w:r>
        <w:t xml:space="preserve"> </w:t>
      </w:r>
      <w:r>
        <w:t xml:space="preserve">Achieve 95% Net Promoter Score from Frankfurt SMEs within Year 1.</w:t>
      </w:r>
    </w:p>
    <w:p>
      <w:pPr>
        <w:pStyle w:val="FirstParagraph"/>
      </w:pPr>
      <w:r>
        <w:t xml:space="preserve">These metrics ensure our Marketing Plan delivers tangible results in the exact city where our Accountant services must excel—Germany Frankfurt.</w:t>
      </w:r>
    </w:p>
    <w:bookmarkEnd w:id="26"/>
    <w:bookmarkStart w:id="27" w:name="conclusion"/>
    <w:p>
      <w:pPr>
        <w:pStyle w:val="Heading2"/>
      </w:pPr>
      <w:r>
        <w:t xml:space="preserve">Conclusion</w:t>
      </w:r>
    </w:p>
    <w:p>
      <w:pPr>
        <w:pStyle w:val="FirstParagraph"/>
      </w:pPr>
      <w:r>
        <w:t xml:space="preserve">This Marketing Plan positions our Accountant services not merely as a vendor but as an essential growth partner for businesses operating at the heart of Germany’s financial ecosystem. By embedding Frankfurt-specific regulatory knowledge, digital innovation, and localized client engagement into every strategy, we will become the preferred Accountant for enterprises navigating complexity in Germany’s most pivotal business city. The roadmap outlined here ensures sustainable growth while delivering exceptional value to clients who demand expertise tailored to Frankfurt’s unique environment. As Germany's economic engine continues to thrive, our Accountant services will be the cornerstone of their financial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in Germany Frankfurt</dc:title>
  <dc:creator/>
  <dc:language>en</dc:language>
  <cp:keywords/>
  <dcterms:created xsi:type="dcterms:W3CDTF">2026-07-21T02:57:31Z</dcterms:created>
  <dcterms:modified xsi:type="dcterms:W3CDTF">2026-07-21T02:57:31Z</dcterms:modified>
</cp:coreProperties>
</file>

<file path=docProps/custom.xml><?xml version="1.0" encoding="utf-8"?>
<Properties xmlns="http://schemas.openxmlformats.org/officeDocument/2006/custom-properties" xmlns:vt="http://schemas.openxmlformats.org/officeDocument/2006/docPropsVTypes"/>
</file>