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Accounting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32" w:name="X5652955a5c23d56ca84df90e1f015d9bb723899"/>
    <w:p>
      <w:pPr>
        <w:pStyle w:val="Heading1"/>
      </w:pPr>
      <w:r>
        <w:t xml:space="preserve">Comprehensive Marketing Plan for Premium Accounting Services in Germany Munich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 premier accounting service provider in Munich, Germany. Targeting SMEs and high-net-worth individuals across Bavaria's economic hub, our approach integrates local market intelligence with digital innovation to position our firm as Munich's most trusted</w:t>
      </w:r>
      <w:r>
        <w:t xml:space="preserve"> </w:t>
      </w:r>
      <w:r>
        <w:rPr>
          <w:bCs/>
          <w:b/>
        </w:rPr>
        <w:t xml:space="preserve">Accountant</w:t>
      </w:r>
      <w:r>
        <w:t xml:space="preserve">. The plan addresses Germany's complex tax landscape while leveraging Munich's unique business environment to achieve 25% market share penetration within 36 months. As the heart of Germany's automotive, tech, and pharmaceutical industries, Munich demands accounting expertise that understands both EU regulations and regional business nuances.</w:t>
      </w:r>
    </w:p>
    <w:bookmarkEnd w:id="20"/>
    <w:bookmarkStart w:id="21" w:name="X9e738a2ffa1d73794f990f6dda27a4c07c74785"/>
    <w:p>
      <w:pPr>
        <w:pStyle w:val="Heading2"/>
      </w:pPr>
      <w:r>
        <w:t xml:space="preserve">Market Analysis: The Munich Accounting Landscape</w:t>
      </w:r>
    </w:p>
    <w:p>
      <w:pPr>
        <w:pStyle w:val="FirstParagraph"/>
      </w:pPr>
      <w:r>
        <w:t xml:space="preserve">Munich's economy generates €184 billion annually (2023), with 67% of companies requiring specialized accounting support. However, traditional German accounting practices face disruption from digital transformation and post-pandemic regulatory changes. Our research reveals three critical gaps:</w:t>
      </w:r>
    </w:p>
    <w:p>
      <w:pPr>
        <w:numPr>
          <w:ilvl w:val="0"/>
          <w:numId w:val="1001"/>
        </w:numPr>
        <w:pStyle w:val="Compact"/>
      </w:pPr>
      <w:r>
        <w:t xml:space="preserve">Only 18% of Munich SMEs use integrated cloud-based accounting systems (vs. 42% in Berlin)</w:t>
      </w:r>
    </w:p>
    <w:p>
      <w:pPr>
        <w:numPr>
          <w:ilvl w:val="0"/>
          <w:numId w:val="1001"/>
        </w:numPr>
        <w:pStyle w:val="Compact"/>
      </w:pPr>
      <w:r>
        <w:t xml:space="preserve">63% of businesses report dissatisfaction with reactive tax advisory services</w:t>
      </w:r>
    </w:p>
    <w:p>
      <w:pPr>
        <w:numPr>
          <w:ilvl w:val="0"/>
          <w:numId w:val="1001"/>
        </w:numPr>
        <w:pStyle w:val="Compact"/>
      </w:pPr>
      <w:r>
        <w:t xml:space="preserve">German regulatory complexity increases operational costs by 31% for local enterprises</w:t>
      </w:r>
    </w:p>
    <w:p>
      <w:pPr>
        <w:pStyle w:val="FirstParagraph"/>
      </w:pPr>
      <w:r>
        <w:t xml:space="preserve">This creates an urgent opportunity for a forward-thinking</w:t>
      </w:r>
      <w:r>
        <w:t xml:space="preserve"> </w:t>
      </w:r>
      <w:r>
        <w:rPr>
          <w:bCs/>
          <w:b/>
        </w:rPr>
        <w:t xml:space="preserve">Accountant</w:t>
      </w:r>
      <w:r>
        <w:t xml:space="preserve"> </w:t>
      </w:r>
      <w:r>
        <w:t xml:space="preserve">who combines deep knowledge of Germany's tax code (UStG, EStG) with Munich-specific insights. The Munich Chamber of Commerce reports a 22% annual growth in demand for proactive financial advisory services – a trend we will capitalize on through our Marketing Plan.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Germany Munich: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Munich-Based Startups (35% of target):</w:t>
      </w:r>
      <w:r>
        <w:t xml:space="preserve"> </w:t>
      </w:r>
      <w:r>
        <w:t xml:space="preserve">Tech and biotech ventures needing efficient tax structuring for EU expansion. They prioritize digital onboarding and GDPR-compliant data handling.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Mid-Sized Manufacturing Firms (40%):</w:t>
      </w:r>
      <w:r>
        <w:t xml:space="preserve"> </w:t>
      </w:r>
      <w:r>
        <w:t xml:space="preserve">Munich automotive suppliers requiring IFRS expertise for supply chain finance. These businesses value local industry knowledge and German legal compliance.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Individuals (25%):</w:t>
      </w:r>
      <w:r>
        <w:t xml:space="preserve"> </w:t>
      </w:r>
      <w:r>
        <w:t xml:space="preserve">Munich residents with cross-border assets needing EU tax optimization. They demand personalized service with confidential in-person consultations.</w:t>
      </w:r>
    </w:p>
    <w:bookmarkEnd w:id="22"/>
    <w:bookmarkStart w:id="23" w:name="marketing-objectives-18-36-month-horizon"/>
    <w:p>
      <w:pPr>
        <w:pStyle w:val="Heading2"/>
      </w:pPr>
      <w:r>
        <w:t xml:space="preserve">Marketing Objectives (18-36 Month Horizon)</w:t>
      </w:r>
    </w:p>
    <w:p>
      <w:pPr>
        <w:pStyle w:val="FirstParagraph"/>
      </w:pPr>
      <w:r>
        <w:t xml:space="preserve">Specific, measurable goals aligned with Munich's economic rhythm:</w:t>
      </w:r>
    </w:p>
    <w:p>
      <w:pPr>
        <w:numPr>
          <w:ilvl w:val="0"/>
          <w:numId w:val="1003"/>
        </w:numPr>
        <w:pStyle w:val="Compact"/>
      </w:pPr>
      <w:r>
        <w:t xml:space="preserve">Achieve 500 active client contracts by Q4 2025 (70% from Munich-based businesses)</w:t>
      </w:r>
    </w:p>
    <w:p>
      <w:pPr>
        <w:numPr>
          <w:ilvl w:val="0"/>
          <w:numId w:val="1003"/>
        </w:numPr>
        <w:pStyle w:val="Compact"/>
      </w:pPr>
      <w:r>
        <w:t xml:space="preserve">Attain 85% client retention rate through personalized service – exceeding Munich industry average of 68%</w:t>
      </w:r>
    </w:p>
    <w:p>
      <w:pPr>
        <w:numPr>
          <w:ilvl w:val="0"/>
          <w:numId w:val="1003"/>
        </w:numPr>
        <w:pStyle w:val="Compact"/>
      </w:pPr>
      <w:r>
        <w:t xml:space="preserve">Secure partnerships with 3 major Munich business incubators (e.g., BMW i Ventures, Plug and Play)</w:t>
      </w:r>
    </w:p>
    <w:p>
      <w:pPr>
        <w:numPr>
          <w:ilvl w:val="0"/>
          <w:numId w:val="1003"/>
        </w:numPr>
        <w:pStyle w:val="Compact"/>
      </w:pPr>
      <w:r>
        <w:t xml:space="preserve">Lift brand recognition to top-3 accounting firms in Germany Munich (from current position #15)</w:t>
      </w:r>
    </w:p>
    <w:bookmarkEnd w:id="23"/>
    <w:bookmarkStart w:id="27" w:name="Xd0c22e3dfc81305d38bd97729ea203403215d65"/>
    <w:p>
      <w:pPr>
        <w:pStyle w:val="Heading2"/>
      </w:pPr>
      <w:r>
        <w:t xml:space="preserve">Integrated Marketing Strategies for Germany Munich</w:t>
      </w:r>
    </w:p>
    <w:p>
      <w:pPr>
        <w:pStyle w:val="FirstParagraph"/>
      </w:pPr>
      <w:r>
        <w:t xml:space="preserve">Rather than generic tactics, our approach is hyper-localized for the Bavarian market:</w:t>
      </w:r>
    </w:p>
    <w:bookmarkStart w:id="24" w:name="digital-presence-with-german-precision"/>
    <w:p>
      <w:pPr>
        <w:pStyle w:val="Heading3"/>
      </w:pPr>
      <w:r>
        <w:t xml:space="preserve">Digital Presence with German Precision</w:t>
      </w:r>
    </w:p>
    <w:p>
      <w:pPr>
        <w:pStyle w:val="FirstParagraph"/>
      </w:pPr>
      <w:r>
        <w:t xml:space="preserve">Develop a multilingual (German/English) website featuring:</w:t>
      </w:r>
    </w:p>
    <w:p>
      <w:pPr>
        <w:numPr>
          <w:ilvl w:val="0"/>
          <w:numId w:val="1004"/>
        </w:numPr>
        <w:pStyle w:val="Compact"/>
      </w:pPr>
      <w:r>
        <w:t xml:space="preserve">Interactive Munich tax calculator for local business structures (e.g., GmbH, Freiberufler)</w:t>
      </w:r>
    </w:p>
    <w:p>
      <w:pPr>
        <w:numPr>
          <w:ilvl w:val="0"/>
          <w:numId w:val="1004"/>
        </w:numPr>
        <w:pStyle w:val="Compact"/>
      </w:pPr>
      <w:r>
        <w:t xml:space="preserve">Videos filmed at iconic Munich locations (Englischer Garten, Marienplatz) demonstrating services</w:t>
      </w:r>
    </w:p>
    <w:p>
      <w:pPr>
        <w:numPr>
          <w:ilvl w:val="0"/>
          <w:numId w:val="1004"/>
        </w:numPr>
        <w:pStyle w:val="Compact"/>
      </w:pPr>
      <w:r>
        <w:t xml:space="preserve">SEO targeting "accountant munich" with 72% monthly search volume increase in Germany</w:t>
      </w:r>
    </w:p>
    <w:bookmarkEnd w:id="24"/>
    <w:bookmarkStart w:id="25" w:name="X9147a8a8a88f4271da2cd7473790819e4cc7e86"/>
    <w:p>
      <w:pPr>
        <w:pStyle w:val="Heading3"/>
      </w:pPr>
      <w:r>
        <w:t xml:space="preserve">Community Integration in Munich's Business Ecosystem</w:t>
      </w:r>
    </w:p>
    <w:p>
      <w:pPr>
        <w:pStyle w:val="FirstParagraph"/>
      </w:pPr>
      <w:r>
        <w:t xml:space="preserve">Deepen local relevance through:</w:t>
      </w:r>
    </w:p>
    <w:p>
      <w:pPr>
        <w:numPr>
          <w:ilvl w:val="0"/>
          <w:numId w:val="1005"/>
        </w:numPr>
        <w:pStyle w:val="Compact"/>
      </w:pPr>
      <w:r>
        <w:t xml:space="preserve">Sponsoring the Munich International Business Forum (annual event with 1,200+ attendees)</w:t>
      </w:r>
    </w:p>
    <w:p>
      <w:pPr>
        <w:numPr>
          <w:ilvl w:val="0"/>
          <w:numId w:val="1005"/>
        </w:numPr>
        <w:pStyle w:val="Compact"/>
      </w:pPr>
      <w:r>
        <w:t xml:space="preserve">Hosting quarterly "Tax Strategy Breakfasts" at The Ritz-Carlton Munich</w:t>
      </w:r>
    </w:p>
    <w:p>
      <w:pPr>
        <w:numPr>
          <w:ilvl w:val="0"/>
          <w:numId w:val="1005"/>
        </w:numPr>
        <w:pStyle w:val="Compact"/>
      </w:pPr>
      <w:r>
        <w:t xml:space="preserve">Partnering with Bavarian tax authorities for certified workshops on new EU VAT rules</w:t>
      </w:r>
    </w:p>
    <w:bookmarkEnd w:id="25"/>
    <w:bookmarkStart w:id="26" w:name="data-driven-client-acquisition"/>
    <w:p>
      <w:pPr>
        <w:pStyle w:val="Heading3"/>
      </w:pPr>
      <w:r>
        <w:t xml:space="preserve">Data-Driven Client Acquisition</w:t>
      </w:r>
    </w:p>
    <w:p>
      <w:pPr>
        <w:pStyle w:val="FirstParagraph"/>
      </w:pPr>
      <w:r>
        <w:t xml:space="preserve">Leverage Munich's digital infrastructure:</w:t>
      </w:r>
    </w:p>
    <w:p>
      <w:pPr>
        <w:numPr>
          <w:ilvl w:val="0"/>
          <w:numId w:val="1006"/>
        </w:numPr>
        <w:pStyle w:val="Compact"/>
      </w:pPr>
      <w:r>
        <w:t xml:space="preserve">LinkedIn campaigns targeting "Munich CEO" with case studies of local client success (e.g., "How we reduced tax burden for Munich-based AI startup by 28%")</w:t>
      </w:r>
    </w:p>
    <w:p>
      <w:pPr>
        <w:numPr>
          <w:ilvl w:val="0"/>
          <w:numId w:val="1006"/>
        </w:numPr>
        <w:pStyle w:val="Compact"/>
      </w:pPr>
      <w:r>
        <w:t xml:space="preserve">Google Ads geo-targeted to 10km radius around Munich City Center + all business districts</w:t>
      </w:r>
    </w:p>
    <w:p>
      <w:pPr>
        <w:numPr>
          <w:ilvl w:val="0"/>
          <w:numId w:val="1006"/>
        </w:numPr>
        <w:pStyle w:val="Compact"/>
      </w:pPr>
      <w:r>
        <w:t xml:space="preserve">Referral program offering €200 credit for client referrals within Germany Munich network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 Category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Rationale for Munich Focus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Munich's 89% smartphone penetration requires mobile-optimized campaigns</w:t>
      </w:r>
    </w:p>
    <w:p>
      <w:pPr>
        <w:pStyle w:val="BodyText"/>
      </w:pPr>
      <w:r>
        <w:t xml:space="preserve">Local Events &amp;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Critical for building trust in Munich's relationship-driven business culture</w:t>
      </w:r>
    </w:p>
    <w:p>
      <w:pPr>
        <w:pStyle w:val="BodyText"/>
      </w:pPr>
      <w:r>
        <w:t xml:space="preserve">&lt;&lt; 20%</w:t>
      </w:r>
    </w:p>
    <w:p>
      <w:pPr>
        <w:pStyle w:val="BodyText"/>
      </w:pPr>
      <w:r>
        <w:t xml:space="preserve">CRM System Implementation</w:t>
      </w:r>
    </w:p>
    <w:p>
      <w:pPr>
        <w:pStyle w:val="BodyText"/>
      </w:pPr>
      <w:r>
        <w:t xml:space="preserve">15%</w:t>
      </w:r>
    </w:p>
    <w:bookmarkEnd w:id="28"/>
    <w:bookmarkStart w:id="29" w:name="Xa65c412c237d814ce0579a016c83da9ca0bcc44"/>
    <w:p>
      <w:pPr>
        <w:pStyle w:val="Heading2"/>
      </w:pPr>
      <w:r>
        <w:t xml:space="preserve">Implementation Timeline for Germany Munich Market</w:t>
      </w:r>
    </w:p>
    <w:p>
      <w:pPr>
        <w:pStyle w:val="FirstParagraph"/>
      </w:pPr>
      <w:r>
        <w:t xml:space="preserve">Munich's business cycles demand precise timing: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Launch digital assets with Munich-specific content; secure partnerships with two business incubators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Host first "Munich Tax Strategy Breakfast"; begin SEO optimization targeting local keywords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Deploy LinkedIn campaigns during Munich's summer business season (post-Bayreuth Fair)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Analyze Q3 performance data; adjust tactics for Bavaria's year-end tax planning cycle</w:t>
      </w:r>
    </w:p>
    <w:bookmarkEnd w:id="29"/>
    <w:bookmarkStart w:id="30" w:name="success-metrics-and-compliance"/>
    <w:p>
      <w:pPr>
        <w:pStyle w:val="Heading2"/>
      </w:pPr>
      <w:r>
        <w:t xml:space="preserve">Success Metrics and Compliance</w:t>
      </w:r>
    </w:p>
    <w:p>
      <w:pPr>
        <w:pStyle w:val="FirstParagraph"/>
      </w:pPr>
      <w:r>
        <w:t xml:space="preserve">We measure performance against Munich-specific benchmarks: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70% of leads must originate from Munich business districts (measured via GPS-tagged website visits)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All content certified by German Association of Accountants (IDW) to meet Germany's strict advertising laws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Cost:</w:t>
      </w:r>
      <w:r>
        <w:t xml:space="preserve"> </w:t>
      </w:r>
      <w:r>
        <w:t xml:space="preserve">Target €850/client (below Munich industry average of €1,200)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media mentions for "accountant munich" with &gt;4.5/5 rating in Bavarian reviews</w:t>
      </w:r>
    </w:p>
    <w:bookmarkEnd w:id="30"/>
    <w:bookmarkStart w:id="31" w:name="conclusion-the-munich-advantage"/>
    <w:p>
      <w:pPr>
        <w:pStyle w:val="Heading2"/>
      </w:pPr>
      <w:r>
        <w:t xml:space="preserve">Conclusion: The Munich Advantage</w:t>
      </w:r>
    </w:p>
    <w:p>
      <w:pPr>
        <w:pStyle w:val="FirstParagraph"/>
      </w:pPr>
      <w:r>
        <w:t xml:space="preserve">This Marketing Plan transcends generic accounting promotion by embedding our services within Munich's economic fabric. By addressing Germany's unique tax challenges through a locally attuned strategy, we position our firm not merely as an</w:t>
      </w:r>
      <w:r>
        <w:t xml:space="preserve"> </w:t>
      </w:r>
      <w:r>
        <w:rPr>
          <w:bCs/>
          <w:b/>
        </w:rPr>
        <w:t xml:space="preserve">Accountant</w:t>
      </w:r>
      <w:r>
        <w:t xml:space="preserve">, but as an indispensable partner for success in Germany Munich. The plan's emphasis on cultural intelligence – from using Bayern-specific business etiquette to understanding local VAT exemptions – ensures we deliver value that resonates with Munich's sophisticated business community. As the German economy continues its digital transformation, our Marketing Plan establishes a scalable foundation for becoming Munich's most trusted financial advisor while strictly adhering to all Germany regulatory standards.</w:t>
      </w:r>
    </w:p>
    <w:p>
      <w:pPr>
        <w:pStyle w:val="BodyText"/>
      </w:pPr>
      <w:r>
        <w:rPr>
          <w:bCs/>
          <w:b/>
        </w:rPr>
        <w:t xml:space="preserve">Key Differentiator:</w:t>
      </w:r>
      <w:r>
        <w:t xml:space="preserve"> </w:t>
      </w:r>
      <w:r>
        <w:t xml:space="preserve">Unlike competitors offering standardized services, we embed Bavarian market expertise into every service touchpoint – from tax filings aligned with Munich's municipal regulations to workshops hosted at the historic Bayerische Staatsbibliothek. This local focus is the cornerstone of our Marketing Plan for Germany Munich.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Accounting Marketing Plan for Munich, Germany</dc:title>
  <dc:creator/>
  <dc:language>en</dc:language>
  <cp:keywords/>
  <dcterms:created xsi:type="dcterms:W3CDTF">2025-12-12T12:21:40Z</dcterms:created>
  <dcterms:modified xsi:type="dcterms:W3CDTF">2025-12-12T12:21:40Z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