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Accountant</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707f53b95f2233932632b617cbfbc2160a9f107"/>
    <w:p>
      <w:pPr>
        <w:pStyle w:val="Heading1"/>
      </w:pPr>
      <w:r>
        <w:t xml:space="preserve">Comprehensive Marketing Plan for Accountant Services Targeting the Jakarta Metropolitan Area, Indonesia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accountant services within the competitive business landscape of Indonesia Jakarta. Recognizing Jakarta's status as Indonesia's economic heartland – home to over 30 million residents and 65% of the nation's corporate headquarters – we position our specialized accounting solutions as indispensable for navigating complex tax regulations, financial compliance, and growth acceleration. Our plan prioritizes local market nuances, leveraging Jakarta’s unique business dynamics to capture a significant share of the $450M+ accountant services market in Greater Jakarta.</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dynamic yet challenging environment for accounting professionals. The city's rapid urbanization fuels SME growth (78% of businesses are micro/small enterprises), but these entities face critical hurdles: navigating the intricate Indonesian tax system (including PP 162/2019 and e-SPT portal requirements), managing cash flow in volatile markets, and accessing certified expertise. According to Badan Pusat Statistik (BPS), Jakarta's SME sector grew by 5.8% annually, yet only 38% utilize professional accounting services due to cost concerns and perceived complexity. Concurrently, international firms (e.g., PT Pertamina, Gojek) demand globally aligned financial reporting under IFRS alongside local compliance – a gap our specialized Jakarta-based Accountant services fill.</w:t>
      </w:r>
    </w:p>
    <w:bookmarkEnd w:id="21"/>
    <w:bookmarkStart w:id="22" w:name="target-audience-segmentation"/>
    <w:p>
      <w:pPr>
        <w:pStyle w:val="Heading2"/>
      </w:pPr>
      <w:r>
        <w:t xml:space="preserve">Target Audience Segmentation</w:t>
      </w:r>
    </w:p>
    <w:p>
      <w:pPr>
        <w:pStyle w:val="FirstParagraph"/>
      </w:pPr>
      <w:r>
        <w:t xml:space="preserve">We segment Jakarta businesses into three high-potential cohorts:</w:t>
      </w:r>
    </w:p>
    <w:p>
      <w:pPr>
        <w:numPr>
          <w:ilvl w:val="0"/>
          <w:numId w:val="1001"/>
        </w:numPr>
        <w:pStyle w:val="Compact"/>
      </w:pPr>
      <w:r>
        <w:rPr>
          <w:bCs/>
          <w:b/>
        </w:rPr>
        <w:t xml:space="preserve">SME Owners (65%):</w:t>
      </w:r>
      <w:r>
        <w:t xml:space="preserve"> </w:t>
      </w:r>
      <w:r>
        <w:t xml:space="preserve">Local restaurants, retail shops, and startups in areas like Senopati, Kemang, and Cipete seeking affordable compliance support.</w:t>
      </w:r>
    </w:p>
    <w:p>
      <w:pPr>
        <w:numPr>
          <w:ilvl w:val="0"/>
          <w:numId w:val="1001"/>
        </w:numPr>
        <w:pStyle w:val="Compact"/>
      </w:pPr>
      <w:r>
        <w:rPr>
          <w:bCs/>
          <w:b/>
        </w:rPr>
        <w:t xml:space="preserve">Mid-Market Corporates (25%):</w:t>
      </w:r>
      <w:r>
        <w:t xml:space="preserve"> </w:t>
      </w:r>
      <w:r>
        <w:t xml:space="preserve">Jakarta-based manufacturers (e.g., textile firms in Sunter), distributors needing financial health assessments and tax optimization.</w:t>
      </w:r>
    </w:p>
    <w:p>
      <w:pPr>
        <w:numPr>
          <w:ilvl w:val="0"/>
          <w:numId w:val="1001"/>
        </w:numPr>
        <w:pStyle w:val="Compact"/>
      </w:pPr>
      <w:r>
        <w:rPr>
          <w:bCs/>
          <w:b/>
        </w:rPr>
        <w:t xml:space="preserve">Multinational Subsidiaries (10%):</w:t>
      </w:r>
      <w:r>
        <w:t xml:space="preserve"> </w:t>
      </w:r>
      <w:r>
        <w:t xml:space="preserve">Foreign-owned entities requiring dual-reporting (Indonesian GAAP + IFRS) for operations in Jakarta's business parks (e.g., SCBD, BSD City).</w:t>
      </w:r>
    </w:p>
    <w:bookmarkEnd w:id="22"/>
    <w:bookmarkStart w:id="23" w:name="X0c883bdf20df39f135b0604662d48bfc5f54541"/>
    <w:p>
      <w:pPr>
        <w:pStyle w:val="Heading2"/>
      </w:pPr>
      <w:r>
        <w:t xml:space="preserve">Unique Value Proposition: The Jakarta Advantage</w:t>
      </w:r>
    </w:p>
    <w:p>
      <w:pPr>
        <w:pStyle w:val="FirstParagraph"/>
      </w:pPr>
      <w:r>
        <w:t xml:space="preserve">Our Accountant services transcend basic bookkeeping by embedding deep local expertise with strategic growth focus. Unlike generic providers, we offer:</w:t>
      </w:r>
    </w:p>
    <w:p>
      <w:pPr>
        <w:numPr>
          <w:ilvl w:val="0"/>
          <w:numId w:val="1002"/>
        </w:numPr>
        <w:pStyle w:val="Compact"/>
      </w:pPr>
      <w:r>
        <w:rPr>
          <w:bCs/>
          <w:b/>
        </w:rPr>
        <w:t xml:space="preserve">Jakarta Compliance Mastery:</w:t>
      </w:r>
      <w:r>
        <w:t xml:space="preserve"> </w:t>
      </w:r>
      <w:r>
        <w:t xml:space="preserve">Certified CPAs fluent in Jakarta-specific regulations (e.g., Pajak Daerah, DKI Jakarta Tax Authority requirements), reducing penalties by 60%+.</w:t>
      </w:r>
    </w:p>
    <w:p>
      <w:pPr>
        <w:numPr>
          <w:ilvl w:val="0"/>
          <w:numId w:val="1002"/>
        </w:numPr>
        <w:pStyle w:val="Compact"/>
      </w:pPr>
      <w:r>
        <w:rPr>
          <w:bCs/>
          <w:b/>
        </w:rPr>
        <w:t xml:space="preserve">Growth-Driven Insights:</w:t>
      </w:r>
      <w:r>
        <w:t xml:space="preserve"> </w:t>
      </w:r>
      <w:r>
        <w:t xml:space="preserve">Financial dashboards tailored to Jakarta SMEs' cash flow cycles (e.g., optimizing for Ramadan/Lebaran sales peaks).</w:t>
      </w:r>
    </w:p>
    <w:p>
      <w:pPr>
        <w:numPr>
          <w:ilvl w:val="0"/>
          <w:numId w:val="1002"/>
        </w:numPr>
        <w:pStyle w:val="Compact"/>
      </w:pPr>
      <w:r>
        <w:rPr>
          <w:bCs/>
          <w:b/>
        </w:rPr>
        <w:t xml:space="preserve">Seamless Digital Integration:</w:t>
      </w:r>
      <w:r>
        <w:t xml:space="preserve"> </w:t>
      </w:r>
      <w:r>
        <w:t xml:space="preserve">e-SPT portal automation and Real-Time Tax Reporting – critical for businesses operating under Jakarta's "Satu Atap" government service mandate.</w:t>
      </w:r>
    </w:p>
    <w:bookmarkEnd w:id="23"/>
    <w:bookmarkStart w:id="26" w:name="marketing-sales-strategy"/>
    <w:p>
      <w:pPr>
        <w:pStyle w:val="Heading2"/>
      </w:pPr>
      <w:r>
        <w:t xml:space="preserve">Marketing &amp; Sales Strategy</w:t>
      </w:r>
    </w:p>
    <w:p>
      <w:pPr>
        <w:pStyle w:val="FirstParagraph"/>
      </w:pPr>
      <w:r>
        <w:t xml:space="preserve">We deploy a hyper-localized, multi-channel approach optimized for Jakarta's digital behavior and business culture:</w:t>
      </w:r>
    </w:p>
    <w:bookmarkStart w:id="24" w:name="X0cf85c437f0961b73396f73209895dd51f89a08"/>
    <w:p>
      <w:pPr>
        <w:pStyle w:val="Heading3"/>
      </w:pPr>
      <w:r>
        <w:t xml:space="preserve">Digital &amp; Community Engagement (Jakarta-Focused)</w:t>
      </w:r>
    </w:p>
    <w:p>
      <w:pPr>
        <w:numPr>
          <w:ilvl w:val="0"/>
          <w:numId w:val="1003"/>
        </w:numPr>
        <w:pStyle w:val="Compact"/>
      </w:pPr>
      <w:r>
        <w:rPr>
          <w:bCs/>
          <w:b/>
        </w:rPr>
        <w:t xml:space="preserve">Google Ads + Local SEO:</w:t>
      </w:r>
      <w:r>
        <w:t xml:space="preserve"> </w:t>
      </w:r>
      <w:r>
        <w:t xml:space="preserve">Targeting "accountant jakarta", "tax compliance jakarta", "SME accounting services" with location extensions. Content optimized for Jakarta search trends.</w:t>
      </w:r>
    </w:p>
    <w:p>
      <w:pPr>
        <w:numPr>
          <w:ilvl w:val="0"/>
          <w:numId w:val="1003"/>
        </w:numPr>
        <w:pStyle w:val="Compact"/>
      </w:pPr>
      <w:r>
        <w:rPr>
          <w:bCs/>
          <w:b/>
        </w:rPr>
        <w:t xml:space="preserve">LinkedIn B2B Campaigns:</w:t>
      </w:r>
      <w:r>
        <w:t xml:space="preserve"> </w:t>
      </w:r>
      <w:r>
        <w:t xml:space="preserve">Targeting business owners in Jakarta's corporate zones (SCBD, Kuningan) with case studies like "How PT Surya Maju Reduced Tax Liability by 27% in 6 Months."</w:t>
      </w:r>
    </w:p>
    <w:p>
      <w:pPr>
        <w:numPr>
          <w:ilvl w:val="0"/>
          <w:numId w:val="1003"/>
        </w:numPr>
        <w:pStyle w:val="Compact"/>
      </w:pPr>
      <w:r>
        <w:rPr>
          <w:bCs/>
          <w:b/>
        </w:rPr>
        <w:t xml:space="preserve">Jakarta Community Partnerships:</w:t>
      </w:r>
      <w:r>
        <w:t xml:space="preserve"> </w:t>
      </w:r>
      <w:r>
        <w:t xml:space="preserve">Co-hosting free workshops at SME hubs (e.g., Bina Pustaka Jakarta, Jababeka Business Center) on topics like "Navigating Indonesia's New Tax Changes for Jakarta Businesses."</w:t>
      </w:r>
    </w:p>
    <w:bookmarkEnd w:id="24"/>
    <w:bookmarkStart w:id="25" w:name="pricing-packaging"/>
    <w:p>
      <w:pPr>
        <w:pStyle w:val="Heading3"/>
      </w:pPr>
      <w:r>
        <w:t xml:space="preserve">Pricing &amp; Packaging</w:t>
      </w:r>
    </w:p>
    <w:p>
      <w:pPr>
        <w:pStyle w:val="FirstParagraph"/>
      </w:pPr>
      <w:r>
        <w:t xml:space="preserve">We introduce tiered services aligned with Jakarta market expectations: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(IDR)</w:t>
            </w:r>
          </w:p>
        </w:tc>
        <w:tc>
          <w:tcPr/>
          <w:p>
            <w:pPr>
              <w:pStyle w:val="Compact"/>
              <w:jc w:val="left"/>
            </w:pPr>
            <w:r>
              <w:t xml:space="preserve">Jakarta SME Focus</w:t>
            </w:r>
          </w:p>
        </w:tc>
      </w:tr>
      <w:tr>
        <w:tc>
          <w:tcPr/>
          <w:p>
            <w:pPr>
              <w:pStyle w:val="Compact"/>
              <w:jc w:val="left"/>
            </w:pPr>
            <w:r>
              <w:t xml:space="preserve">Starter: Basic Compliance</w:t>
            </w:r>
          </w:p>
        </w:tc>
        <w:tc>
          <w:tcPr/>
          <w:p>
            <w:pPr>
              <w:pStyle w:val="Compact"/>
              <w:jc w:val="left"/>
            </w:pPr>
            <w:r>
              <w:t xml:space="preserve">2,499,000/month</w:t>
            </w:r>
          </w:p>
        </w:tc>
        <w:tc>
          <w:tcPr/>
          <w:p>
            <w:pPr>
              <w:pStyle w:val="Compact"/>
              <w:jc w:val="left"/>
            </w:pPr>
            <w:r>
              <w:t xml:space="preserve">e-SPT filing, basic VAT, Jakarta Pajak Daerah support.</w:t>
            </w:r>
          </w:p>
        </w:tc>
      </w:tr>
      <w:tr>
        <w:tc>
          <w:tcPr/>
          <w:p>
            <w:pPr>
              <w:pStyle w:val="Compact"/>
              <w:jc w:val="left"/>
            </w:pPr>
            <w:r>
              <w:t xml:space="preserve">Growth: Strategic Accounting</w:t>
            </w:r>
          </w:p>
        </w:tc>
        <w:tc>
          <w:tcPr/>
          <w:p>
            <w:pPr>
              <w:pStyle w:val="Compact"/>
              <w:jc w:val="left"/>
            </w:pPr>
            <w:r>
              <w:t xml:space="preserve">5,750,000/month</w:t>
            </w:r>
          </w:p>
        </w:tc>
        <w:tc>
          <w:tcPr/>
          <w:p>
            <w:pPr>
              <w:pStyle w:val="Compact"/>
              <w:jc w:val="left"/>
            </w:pPr>
            <w:r>
              <w:t xml:space="preserve">Financial forecasting for Jakarta market trends (e.g., tourism rebound in Bali/Jakarta), cash flow optimization.</w:t>
            </w:r>
          </w:p>
        </w:tc>
      </w:tr>
      <w:tr>
        <w:tc>
          <w:tcPr/>
          <w:p>
            <w:pPr>
              <w:pStyle w:val="Compact"/>
              <w:jc w:val="left"/>
            </w:pPr>
            <w:r>
              <w:t xml:space="preserve">Enterprise: Full Suite</w:t>
            </w:r>
          </w:p>
        </w:tc>
        <w:tc>
          <w:tcPr/>
          <w:p>
            <w:pPr>
              <w:pStyle w:val="Compact"/>
              <w:jc w:val="left"/>
            </w:pPr>
            <w:r>
              <w:t xml:space="preserve">Negotiated</w:t>
            </w:r>
          </w:p>
        </w:tc>
        <w:tc>
          <w:tcPr/>
          <w:p>
            <w:pPr>
              <w:pStyle w:val="Compact"/>
              <w:jc w:val="left"/>
            </w:pPr>
            <w:r>
              <w:t xml:space="preserve">IPO readiness, multi-branch reporting across Jakarta provinces, tax risk audits.</w:t>
            </w:r>
          </w:p>
        </w:tc>
      </w:tr>
    </w:tbl>
    <w:bookmarkEnd w:id="25"/>
    <w:bookmarkEnd w:id="26"/>
    <w:bookmarkStart w:id="27" w:name="X97cff9dd7b813f48d0168c210ab8ad094248700"/>
    <w:p>
      <w:pPr>
        <w:pStyle w:val="Heading2"/>
      </w:pPr>
      <w:r>
        <w:t xml:space="preserve">Operational Implementation Timeline (Jakarta Specific)</w:t>
      </w:r>
    </w:p>
    <w:p>
      <w:pPr>
        <w:pStyle w:val="FirstParagraph"/>
      </w:pPr>
      <w:r>
        <w:rPr>
          <w:bCs/>
          <w:b/>
        </w:rPr>
        <w:t xml:space="preserve">Months 1-3:</w:t>
      </w:r>
      <w:r>
        <w:t xml:space="preserve"> </w:t>
      </w:r>
      <w:r>
        <w:t xml:space="preserve">Launch Jakarta-focused website with Bahasa Indonesia + English support. Secure 5 pilot SME clients in South Jakarta via partnerships with local chambers of commerce.</w:t>
      </w:r>
    </w:p>
    <w:p>
      <w:pPr>
        <w:pStyle w:val="BodyText"/>
      </w:pPr>
      <w:r>
        <w:rPr>
          <w:bCs/>
          <w:b/>
        </w:rPr>
        <w:t xml:space="preserve">Months 4-6:</w:t>
      </w:r>
      <w:r>
        <w:t xml:space="preserve"> </w:t>
      </w:r>
      <w:r>
        <w:t xml:space="preserve">Achieve 50 active Jakarta clients through targeted LinkedIn campaigns and workshops at Kemang Village Business Hub. Integrate with Jakarta’s official e-Tax platform (Sistem Perpajakan Online).</w:t>
      </w:r>
    </w:p>
    <w:p>
      <w:pPr>
        <w:pStyle w:val="BodyText"/>
      </w:pPr>
      <w:r>
        <w:rPr>
          <w:bCs/>
          <w:b/>
        </w:rPr>
        <w:t xml:space="preserve">Months 7-12:</w:t>
      </w:r>
      <w:r>
        <w:t xml:space="preserve"> </w:t>
      </w:r>
      <w:r>
        <w:t xml:space="preserve">Expand to North Jakarta industrial zones (Tanjung Priok), aiming for 300+ clients and establishing the #1 trusted Accountant brand in Indonesia Jakarta.</w:t>
      </w:r>
    </w:p>
    <w:bookmarkEnd w:id="27"/>
    <w:bookmarkStart w:id="28" w:name="kpis-success-metrics"/>
    <w:p>
      <w:pPr>
        <w:pStyle w:val="Heading2"/>
      </w:pPr>
      <w:r>
        <w:t xml:space="preserve">KPIs &amp; Success Metrics</w:t>
      </w:r>
    </w:p>
    <w:p>
      <w:pPr>
        <w:pStyle w:val="FirstParagraph"/>
      </w:pPr>
      <w:r>
        <w:t xml:space="preserve">We measure success through Jakarta-specific KPIs:</w:t>
      </w:r>
    </w:p>
    <w:p>
      <w:pPr>
        <w:numPr>
          <w:ilvl w:val="0"/>
          <w:numId w:val="1004"/>
        </w:numPr>
        <w:pStyle w:val="Compact"/>
      </w:pPr>
      <w:r>
        <w:t xml:space="preserve">Client Acquisition Cost (CAC) below IDR 5.8 million per new Jakarta business.</w:t>
      </w:r>
    </w:p>
    <w:p>
      <w:pPr>
        <w:numPr>
          <w:ilvl w:val="0"/>
          <w:numId w:val="1004"/>
        </w:numPr>
        <w:pStyle w:val="Compact"/>
      </w:pPr>
      <w:r>
        <w:t xml:space="preserve">Customer Retention Rate &gt; 85% among Jakarta SMEs (industry avg: 62%).</w:t>
      </w:r>
    </w:p>
    <w:p>
      <w:pPr>
        <w:numPr>
          <w:ilvl w:val="0"/>
          <w:numId w:val="1004"/>
        </w:numPr>
        <w:pStyle w:val="Compact"/>
      </w:pPr>
      <w:r>
        <w:t xml:space="preserve">30+ monthly leads from Jakarta-based search queries.</w:t>
      </w:r>
    </w:p>
    <w:p>
      <w:pPr>
        <w:numPr>
          <w:ilvl w:val="0"/>
          <w:numId w:val="1004"/>
        </w:numPr>
        <w:pStyle w:val="Compact"/>
      </w:pPr>
      <w:r>
        <w:t xml:space="preserve">40% reduction in client tax penalty incidents within 6 months of service commencement.</w:t>
      </w:r>
    </w:p>
    <w:bookmarkEnd w:id="28"/>
    <w:bookmarkStart w:id="29" w:name="conclusion-the-jakarta-imperative"/>
    <w:p>
      <w:pPr>
        <w:pStyle w:val="Heading2"/>
      </w:pPr>
      <w:r>
        <w:t xml:space="preserve">Conclusion: The Jakarta Imperative</w:t>
      </w:r>
    </w:p>
    <w:p>
      <w:pPr>
        <w:pStyle w:val="FirstParagraph"/>
      </w:pPr>
      <w:r>
        <w:t xml:space="preserve">The path to dominance in Accountant services within Indonesia Jakarta demands more than technical expertise – it requires an intimate understanding of the city's regulatory heartbeat, economic rhythms, and business culture. By embedding our Marketing Plan around Jakarta’s unique challenges (e.g., dynamic tax laws, SME growth pressure), we position ourselves not as a vendor but as the strategic financial partner every business in Indonesia Jakarta needs to thrive. This plan ensures every marketing dollar spent drives measurable impact within the most critical market for Indonesia's economy, turning compliance from a burden into a catalyst for growth. The future of professional accounting in Jakarta isn't just about numbers – it's about unlocking value where Indonesia's economy pulses strongest.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Accountant Services in Indonesia Jakarta</dc:title>
  <dc:creator/>
  <dc:language>en</dc:language>
  <cp:keywords/>
  <dcterms:created xsi:type="dcterms:W3CDTF">2026-07-21T08:33:46Z</dcterms:created>
  <dcterms:modified xsi:type="dcterms:W3CDTF">2026-07-21T08:33:46Z</dcterms:modified>
</cp:coreProperties>
</file>

<file path=docProps/custom.xml><?xml version="1.0" encoding="utf-8"?>
<Properties xmlns="http://schemas.openxmlformats.org/officeDocument/2006/custom-properties" xmlns:vt="http://schemas.openxmlformats.org/officeDocument/2006/docPropsVTypes"/>
</file>