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Rome,</w:t>
      </w:r>
      <w:r>
        <w:t xml:space="preserve"> </w:t>
      </w:r>
      <w:r>
        <w:t xml:space="preserve">Italy</w:t>
      </w:r>
    </w:p>
    <w:bookmarkStart w:id="33" w:name="Xf04b787fa154ce9c0deef5a7576bddcd1a21522"/>
    <w:p>
      <w:pPr>
        <w:pStyle w:val="Heading1"/>
      </w:pPr>
      <w:r>
        <w:t xml:space="preserve">Comprehensive Marketing Plan for Premium Accountant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 leading accountant service provider targeting businesses and high-net-worth individuals across Italy Rome. Recognizing the unique economic landscape of Rome, where complex tax regulations, EU compliance requirements, and cultural business nuances shape financial operations, we position our firm as the definitive partner for fiscal excellence. Our goal is to capture 15% market share among SMEs in Rome within three years through hyper-localized service delivery and digital innovation.</w:t>
      </w:r>
    </w:p>
    <w:bookmarkEnd w:id="20"/>
    <w:bookmarkStart w:id="21" w:name="market-analysis-italy-rome-context"/>
    <w:p>
      <w:pPr>
        <w:pStyle w:val="Heading2"/>
      </w:pPr>
      <w:r>
        <w:t xml:space="preserve">Market Analysis: Italy Rome Context</w:t>
      </w:r>
    </w:p>
    <w:p>
      <w:pPr>
        <w:pStyle w:val="FirstParagraph"/>
      </w:pPr>
      <w:r>
        <w:t xml:space="preserve">Rome's economy is characterized by a vibrant mix of historic enterprises, tourism-driven businesses, and modern startups operating under stringent Italian tax codes (IRPEF, IVA) and EU directives. The city's 180,000+ SMEs face significant challenges with the Italian Revenue Agency's evolving compliance requirements. Recent data shows 62% of Rome-based businesses experience tax filing errors due to lack of specialized local knowledge – a critical gap our Accountant services will address. Competitors operate at a fragmented level, primarily offering basic bookkeeping without strategic financial advisory tailored to Rome's unique market.</w:t>
      </w:r>
    </w:p>
    <w:bookmarkEnd w:id="21"/>
    <w:bookmarkStart w:id="22" w:name="target-audience"/>
    <w:p>
      <w:pPr>
        <w:pStyle w:val="Heading2"/>
      </w:pPr>
      <w:r>
        <w:t xml:space="preserve">Target Audience</w:t>
      </w:r>
    </w:p>
    <w:p>
      <w:pPr>
        <w:pStyle w:val="FirstParagraph"/>
      </w:pPr>
      <w:r>
        <w:t xml:space="preserve">We focus on two primary segments within Italy Rome:</w:t>
      </w:r>
    </w:p>
    <w:p>
      <w:pPr>
        <w:numPr>
          <w:ilvl w:val="0"/>
          <w:numId w:val="1001"/>
        </w:numPr>
        <w:pStyle w:val="Compact"/>
      </w:pPr>
      <w:r>
        <w:rPr>
          <w:bCs/>
          <w:b/>
        </w:rPr>
        <w:t xml:space="preserve">Local SMEs (60% of target):</w:t>
      </w:r>
      <w:r>
        <w:t xml:space="preserve"> </w:t>
      </w:r>
      <w:r>
        <w:t xml:space="preserve">Family-owned businesses in Trastevere, Ostiense, and EUR districts requiring VAT optimization for tourism/retail sectors. These clients prioritize Italian-language communication and understanding of Rome's municipal tax incentives.</w:t>
      </w:r>
    </w:p>
    <w:p>
      <w:pPr>
        <w:numPr>
          <w:ilvl w:val="0"/>
          <w:numId w:val="1001"/>
        </w:numPr>
        <w:pStyle w:val="Compact"/>
      </w:pPr>
      <w:r>
        <w:rPr>
          <w:bCs/>
          <w:b/>
        </w:rPr>
        <w:t xml:space="preserve">High-Net-Worth Individuals (40% of target):</w:t>
      </w:r>
      <w:r>
        <w:t xml:space="preserve"> </w:t>
      </w:r>
      <w:r>
        <w:t xml:space="preserve">Residents in exclusive neighborhoods like Prati and Flaminio seeking wealth management aligned with Italy's 2023 financial transparency laws. They demand discreet, multilingual support (Italian/English) for cross-border assets.</w:t>
      </w:r>
    </w:p>
    <w:bookmarkEnd w:id="22"/>
    <w:bookmarkStart w:id="23" w:name="unique-value-proposition"/>
    <w:p>
      <w:pPr>
        <w:pStyle w:val="Heading2"/>
      </w:pPr>
      <w:r>
        <w:t xml:space="preserve">Unique Value Proposition</w:t>
      </w:r>
    </w:p>
    <w:p>
      <w:pPr>
        <w:pStyle w:val="FirstParagraph"/>
      </w:pPr>
      <w:r>
        <w:t xml:space="preserve">Our Rome-based Accountant services integrate three pillars absent in competitors:</w:t>
      </w:r>
    </w:p>
    <w:p>
      <w:pPr>
        <w:numPr>
          <w:ilvl w:val="0"/>
          <w:numId w:val="1002"/>
        </w:numPr>
        <w:pStyle w:val="Compact"/>
      </w:pPr>
      <w:r>
        <w:rPr>
          <w:bCs/>
          <w:b/>
        </w:rPr>
        <w:t xml:space="preserve">Hyper-Local Compliance Expertise:</w:t>
      </w:r>
      <w:r>
        <w:t xml:space="preserve"> </w:t>
      </w:r>
      <w:r>
        <w:t xml:space="preserve">Deep knowledge of Rome-specific municipal taxes (e.g., TARI waste fees, tourist accommodation levies) and cultural business practices.</w:t>
      </w:r>
    </w:p>
    <w:p>
      <w:pPr>
        <w:numPr>
          <w:ilvl w:val="0"/>
          <w:numId w:val="1002"/>
        </w:numPr>
        <w:pStyle w:val="Compact"/>
      </w:pPr>
      <w:r>
        <w:rPr>
          <w:bCs/>
          <w:b/>
        </w:rPr>
        <w:t xml:space="preserve">EU Regulatory Precision:</w:t>
      </w:r>
      <w:r>
        <w:t xml:space="preserve"> </w:t>
      </w:r>
      <w:r>
        <w:t xml:space="preserve">Specialized in Italy's new Digital Tax Reporting System (Sistema di Causali Elettroniche) and GDPR-compliant financial data handling.</w:t>
      </w:r>
    </w:p>
    <w:p>
      <w:pPr>
        <w:numPr>
          <w:ilvl w:val="0"/>
          <w:numId w:val="1002"/>
        </w:numPr>
        <w:pStyle w:val="Compact"/>
      </w:pPr>
      <w:r>
        <w:rPr>
          <w:bCs/>
          <w:b/>
        </w:rPr>
        <w:t xml:space="preserve">Rome Business Network Access:</w:t>
      </w:r>
      <w:r>
        <w:t xml:space="preserve"> </w:t>
      </w:r>
      <w:r>
        <w:t xml:space="preserve">Partnerships with Rome Chamber of Commerce, local tourism boards, and Italian tax courts for priority service routing.</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offer three tiered Accountant packages:</w:t>
      </w:r>
    </w:p>
    <w:p>
      <w:pPr>
        <w:numPr>
          <w:ilvl w:val="0"/>
          <w:numId w:val="1003"/>
        </w:numPr>
        <w:pStyle w:val="Compact"/>
      </w:pPr>
      <w:r>
        <w:rPr>
          <w:bCs/>
          <w:b/>
        </w:rPr>
        <w:t xml:space="preserve">Rome Starter (€199/month):</w:t>
      </w:r>
      <w:r>
        <w:t xml:space="preserve"> </w:t>
      </w:r>
      <w:r>
        <w:t xml:space="preserve">Basic VAT filing for Rome-based service businesses, including municipal tax compliance.</w:t>
      </w:r>
    </w:p>
    <w:p>
      <w:pPr>
        <w:numPr>
          <w:ilvl w:val="0"/>
          <w:numId w:val="1003"/>
        </w:numPr>
        <w:pStyle w:val="Compact"/>
      </w:pPr>
      <w:r>
        <w:rPr>
          <w:bCs/>
          <w:b/>
        </w:rPr>
        <w:t xml:space="preserve">Rome Premium (€499/month):</w:t>
      </w:r>
      <w:r>
        <w:t xml:space="preserve"> </w:t>
      </w:r>
      <w:r>
        <w:t xml:space="preserve">Full financial management with quarterly strategy sessions addressing tourism seasonality and Rome's 2023 hospitality tax reforms.</w:t>
      </w:r>
    </w:p>
    <w:p>
      <w:pPr>
        <w:numPr>
          <w:ilvl w:val="0"/>
          <w:numId w:val="1003"/>
        </w:numPr>
        <w:pStyle w:val="Compact"/>
      </w:pPr>
      <w:r>
        <w:rPr>
          <w:bCs/>
          <w:b/>
        </w:rPr>
        <w:t xml:space="preserve">Rome Elite (€1,200/month):</w:t>
      </w:r>
      <w:r>
        <w:t xml:space="preserve"> </w:t>
      </w:r>
      <w:r>
        <w:t xml:space="preserve">Bespoke wealth solutions for Rome residents with international assets, featuring bi-monthly in-person consultations at our Trastevere office.</w:t>
      </w:r>
    </w:p>
    <w:bookmarkEnd w:id="24"/>
    <w:bookmarkStart w:id="25" w:name="pricing-strategy"/>
    <w:p>
      <w:pPr>
        <w:pStyle w:val="Heading3"/>
      </w:pPr>
      <w:r>
        <w:t xml:space="preserve">Pricing Strategy</w:t>
      </w:r>
    </w:p>
    <w:p>
      <w:pPr>
        <w:pStyle w:val="FirstParagraph"/>
      </w:pPr>
      <w:r>
        <w:t xml:space="preserve">Competitive yet premium positioning: 8% below top-tier Rome accounting firms while emphasizing cost savings through error prevention. We implement a "Rome Advantage" discount for businesses registered in historic districts (e.g., Monti, Testaccio), acknowledging their unique operational challenges.</w:t>
      </w:r>
    </w:p>
    <w:bookmarkEnd w:id="25"/>
    <w:bookmarkStart w:id="26" w:name="distribution-strategy"/>
    <w:p>
      <w:pPr>
        <w:pStyle w:val="Heading3"/>
      </w:pPr>
      <w:r>
        <w:t xml:space="preserve">Distribution Strategy</w:t>
      </w:r>
    </w:p>
    <w:p>
      <w:pPr>
        <w:pStyle w:val="FirstParagraph"/>
      </w:pPr>
      <w:r>
        <w:t xml:space="preserve">100% Rome-focused physical presence with offices in:</w:t>
      </w:r>
    </w:p>
    <w:p>
      <w:pPr>
        <w:numPr>
          <w:ilvl w:val="0"/>
          <w:numId w:val="1004"/>
        </w:numPr>
        <w:pStyle w:val="Compact"/>
      </w:pPr>
      <w:r>
        <w:t xml:space="preserve">Trastevere (for artisanal/retail clients)</w:t>
      </w:r>
    </w:p>
    <w:p>
      <w:pPr>
        <w:numPr>
          <w:ilvl w:val="0"/>
          <w:numId w:val="1004"/>
        </w:numPr>
        <w:pStyle w:val="Compact"/>
      </w:pPr>
      <w:r>
        <w:t xml:space="preserve">Ostiense (for startup incubators like Città della Scienza)</w:t>
      </w:r>
    </w:p>
    <w:p>
      <w:pPr>
        <w:numPr>
          <w:ilvl w:val="0"/>
          <w:numId w:val="1004"/>
        </w:numPr>
        <w:pStyle w:val="Compact"/>
      </w:pPr>
      <w:r>
        <w:t xml:space="preserve">EUR District (for corporate clients near Piazza dei Cinquecento)</w:t>
      </w:r>
    </w:p>
    <w:p>
      <w:pPr>
        <w:pStyle w:val="FirstParagraph"/>
      </w:pPr>
      <w:r>
        <w:t xml:space="preserve">Complementing this, we deploy a Rome-specific digital platform with AI-driven tax simulators reflecting Italy's latest fiscal year changes.</w:t>
      </w:r>
    </w:p>
    <w:bookmarkEnd w:id="26"/>
    <w:bookmarkStart w:id="27" w:name="promotion-strategy"/>
    <w:p>
      <w:pPr>
        <w:pStyle w:val="Heading3"/>
      </w:pPr>
      <w:r>
        <w:t xml:space="preserve">Promotion Strategy</w:t>
      </w:r>
    </w:p>
    <w:p>
      <w:pPr>
        <w:numPr>
          <w:ilvl w:val="0"/>
          <w:numId w:val="1005"/>
        </w:numPr>
        <w:pStyle w:val="Compact"/>
      </w:pPr>
      <w:r>
        <w:rPr>
          <w:bCs/>
          <w:b/>
        </w:rPr>
        <w:t xml:space="preserve">Rome Community Engagement:</w:t>
      </w:r>
      <w:r>
        <w:t xml:space="preserve"> </w:t>
      </w:r>
      <w:r>
        <w:t xml:space="preserve">Sponsor events at Roma Convention Center and host free "Tax &amp; Tourism" workshops at Rome Chamber of Commerce, addressing seasonal challenges for local businesses.</w:t>
      </w:r>
    </w:p>
    <w:p>
      <w:pPr>
        <w:numPr>
          <w:ilvl w:val="0"/>
          <w:numId w:val="1005"/>
        </w:numPr>
        <w:pStyle w:val="Compact"/>
      </w:pPr>
      <w:r>
        <w:rPr>
          <w:bCs/>
          <w:b/>
        </w:rPr>
        <w:t xml:space="preserve">Digital Localization:</w:t>
      </w:r>
      <w:r>
        <w:t xml:space="preserve"> </w:t>
      </w:r>
      <w:r>
        <w:t xml:space="preserve">Geo-targeted Google Ads using "Accountant Rome Italy" keywords; social media campaigns featuring testimonials from Roman clients like "Pizza Al Duomo owner reduced tax burden by 22%."</w:t>
      </w:r>
    </w:p>
    <w:p>
      <w:pPr>
        <w:numPr>
          <w:ilvl w:val="0"/>
          <w:numId w:val="1005"/>
        </w:numPr>
        <w:pStyle w:val="Compact"/>
      </w:pPr>
      <w:r>
        <w:rPr>
          <w:bCs/>
          <w:b/>
        </w:rPr>
        <w:t xml:space="preserve">Strategic Partnerships:</w:t>
      </w:r>
      <w:r>
        <w:t xml:space="preserve"> </w:t>
      </w:r>
      <w:r>
        <w:t xml:space="preserve">Collaborate with Rome-based legal firms (e.g., Studio Legale Rossi) and tourism associations to co-create compliance guides for the hospitality sector.</w:t>
      </w:r>
    </w:p>
    <w:p>
      <w:pPr>
        <w:numPr>
          <w:ilvl w:val="0"/>
          <w:numId w:val="1005"/>
        </w:numPr>
        <w:pStyle w:val="Compact"/>
      </w:pPr>
      <w:r>
        <w:rPr>
          <w:bCs/>
          <w:b/>
        </w:rPr>
        <w:t xml:space="preserve">Cultural Integration:</w:t>
      </w:r>
      <w:r>
        <w:t xml:space="preserve"> </w:t>
      </w:r>
      <w:r>
        <w:t xml:space="preserve">Develop an "Italian Fiscal Culture" guide explaining how Rome's business traditions affect tax strategy – a unique value not offered by international accounting firms operating in Italy Rome.</w:t>
      </w:r>
    </w:p>
    <w:bookmarkEnd w:id="27"/>
    <w:bookmarkEnd w:id="28"/>
    <w:bookmarkStart w:id="29" w:name="budget-allocation"/>
    <w:p>
      <w:pPr>
        <w:pStyle w:val="Heading2"/>
      </w:pPr>
      <w:r>
        <w:t xml:space="preserve">Budget Allocation</w:t>
      </w:r>
    </w:p>
    <w:p>
      <w:pPr>
        <w:pStyle w:val="FirstParagraph"/>
      </w:pPr>
      <w:r>
        <w:t xml:space="preserve">€48,000 annual marketing budget (5% of projected first-year revenue), allocated as:</w:t>
      </w:r>
    </w:p>
    <w:p>
      <w:pPr>
        <w:numPr>
          <w:ilvl w:val="0"/>
          <w:numId w:val="1006"/>
        </w:numPr>
        <w:pStyle w:val="Compact"/>
      </w:pPr>
      <w:r>
        <w:t xml:space="preserve">65% Digital Marketing: Targeted ads, SEO for "Rome accountant," and Rome-specific content creation.</w:t>
      </w:r>
    </w:p>
    <w:p>
      <w:pPr>
        <w:numPr>
          <w:ilvl w:val="0"/>
          <w:numId w:val="1006"/>
        </w:numPr>
        <w:pStyle w:val="Compact"/>
      </w:pPr>
      <w:r>
        <w:t xml:space="preserve">20% Community Events: Sponsorships at Rome Business Forum and local chamber networking events.</w:t>
      </w:r>
    </w:p>
    <w:p>
      <w:pPr>
        <w:numPr>
          <w:ilvl w:val="0"/>
          <w:numId w:val="1006"/>
        </w:numPr>
        <w:pStyle w:val="Compact"/>
      </w:pPr>
      <w:r>
        <w:t xml:space="preserve">15% Partnership Development: Co-marketing with key Rome organizations.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groundwork: Register with Rome Chamber of Commerce; launch Rome-specific website; host first "Tax Season Survival Guide" workshop.</w:t>
            </w:r>
          </w:p>
        </w:tc>
      </w:tr>
      <w:tr>
        <w:tc>
          <w:tcPr/>
          <w:p>
            <w:pPr>
              <w:pStyle w:val="Compact"/>
              <w:jc w:val="left"/>
            </w:pPr>
            <w:r>
              <w:t xml:space="preserve">Q2 2024</w:t>
            </w:r>
          </w:p>
        </w:tc>
        <w:tc>
          <w:tcPr/>
          <w:p>
            <w:pPr>
              <w:pStyle w:val="Compact"/>
              <w:jc w:val="left"/>
            </w:pPr>
            <w:r>
              <w:t xml:space="preserve">Activate geo-targeted campaigns; sign partnerships with 3 major Rome tourism associations.</w:t>
            </w:r>
          </w:p>
        </w:tc>
      </w:tr>
      <w:tr>
        <w:tc>
          <w:tcPr/>
          <w:p>
            <w:pPr>
              <w:pStyle w:val="Compact"/>
              <w:jc w:val="left"/>
            </w:pPr>
            <w:r>
              <w:t xml:space="preserve">Q3 2024</w:t>
            </w:r>
          </w:p>
        </w:tc>
        <w:tc>
          <w:tcPr/>
          <w:p>
            <w:pPr>
              <w:pStyle w:val="Compact"/>
              <w:jc w:val="left"/>
            </w:pPr>
            <w:r>
              <w:t xml:space="preserve">Deploy AI tax tool for Rome businesses; expand office presence to Ostiense district.</w:t>
            </w:r>
          </w:p>
        </w:tc>
      </w:tr>
      <w:tr>
        <w:tc>
          <w:tcPr/>
          <w:p>
            <w:pPr>
              <w:pStyle w:val="Compact"/>
              <w:jc w:val="left"/>
            </w:pPr>
            <w:r>
              <w:t xml:space="preserve">Q4 2024</w:t>
            </w:r>
          </w:p>
        </w:tc>
        <w:tc>
          <w:tcPr/>
          <w:p>
            <w:pPr>
              <w:pStyle w:val="Compact"/>
              <w:jc w:val="left"/>
            </w:pPr>
            <w:r>
              <w:t xml:space="preserve">Analyze client acquisition costs; refine strategy based on Rome market feedback.</w:t>
            </w:r>
          </w:p>
        </w:tc>
      </w:tr>
    </w:tbl>
    <w:bookmarkEnd w:id="30"/>
    <w:bookmarkStart w:id="31" w:name="evaluation-control"/>
    <w:p>
      <w:pPr>
        <w:pStyle w:val="Heading2"/>
      </w:pPr>
      <w:r>
        <w:t xml:space="preserve">Evaluation &amp; Control</w:t>
      </w:r>
    </w:p>
    <w:p>
      <w:pPr>
        <w:pStyle w:val="FirstParagraph"/>
      </w:pPr>
      <w:r>
        <w:t xml:space="preserve">We measure success through Rome-specific KPIs:</w:t>
      </w:r>
    </w:p>
    <w:p>
      <w:pPr>
        <w:numPr>
          <w:ilvl w:val="0"/>
          <w:numId w:val="1007"/>
        </w:numPr>
        <w:pStyle w:val="Compact"/>
      </w:pPr>
      <w:r>
        <w:t xml:space="preserve">Client Acquisition Cost (CAC) below €850 per new SME in Italy Rome – industry average is €1,120.</w:t>
      </w:r>
    </w:p>
    <w:p>
      <w:pPr>
        <w:numPr>
          <w:ilvl w:val="0"/>
          <w:numId w:val="1007"/>
        </w:numPr>
        <w:pStyle w:val="Compact"/>
      </w:pPr>
      <w:r>
        <w:t xml:space="preserve">95% client retention rate after first year (vs. 78% city average).</w:t>
      </w:r>
    </w:p>
    <w:p>
      <w:pPr>
        <w:numPr>
          <w:ilvl w:val="0"/>
          <w:numId w:val="1007"/>
        </w:numPr>
        <w:pStyle w:val="Compact"/>
      </w:pPr>
      <w:r>
        <w:t xml:space="preserve">Positive sentiment in Rome-focused business forums (minimum 4.3/5 on Trustpilot for "Rome accountant" searches).</w:t>
      </w:r>
    </w:p>
    <w:p>
      <w:pPr>
        <w:pStyle w:val="FirstParagraph"/>
      </w:pPr>
      <w:r>
        <w:t xml:space="preserve">Bi-monthly reviews will analyze Rome-specific metrics like municipal tax compliance rates and seasonal booking patterns to adjust our Accountant service delivery.</w:t>
      </w:r>
    </w:p>
    <w:bookmarkEnd w:id="31"/>
    <w:bookmarkStart w:id="32" w:name="conclusion"/>
    <w:p>
      <w:pPr>
        <w:pStyle w:val="Heading2"/>
      </w:pPr>
      <w:r>
        <w:t xml:space="preserve">Conclusion</w:t>
      </w:r>
    </w:p>
    <w:p>
      <w:pPr>
        <w:pStyle w:val="FirstParagraph"/>
      </w:pPr>
      <w:r>
        <w:t xml:space="preserve">This Marketing Plan positions our firm as the indispensable Accountant partner for Italy Rome's dynamic business ecosystem. By embedding ourselves within Rome's cultural and regulatory fabric – from understanding Trastevere bakery tax nuances to navigating EUR corporate tax treaties – we transform accounting from a compliance chore into a strategic growth catalyst. Our commitment to hyper-localized expertise ensures every service delivered embodies the precision expected of an Accountant operating at the heart of Italy Rome's economic engine, driving sustainable growth while setting new standards for financial services in the Eternal City.</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Accountant Services in Rome, Italy</dc:title>
  <dc:creator/>
  <dc:language>en</dc:language>
  <cp:keywords/>
  <dcterms:created xsi:type="dcterms:W3CDTF">2026-07-21T02:35:01Z</dcterms:created>
  <dcterms:modified xsi:type="dcterms:W3CDTF">2026-07-21T02:35:01Z</dcterms:modified>
</cp:coreProperties>
</file>

<file path=docProps/custom.xml><?xml version="1.0" encoding="utf-8"?>
<Properties xmlns="http://schemas.openxmlformats.org/officeDocument/2006/custom-properties" xmlns:vt="http://schemas.openxmlformats.org/officeDocument/2006/docPropsVTypes"/>
</file>