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Malaysia</w:t>
      </w:r>
      <w:r>
        <w:t xml:space="preserve"> </w:t>
      </w:r>
      <w:r>
        <w:t xml:space="preserve">Kuala</w:t>
      </w:r>
      <w:r>
        <w:t xml:space="preserve"> </w:t>
      </w:r>
      <w:r>
        <w:t xml:space="preserve">Lumpur</w:t>
      </w:r>
      <w:r>
        <w:t xml:space="preserve"> </w:t>
      </w:r>
      <w:r>
        <w:t xml:space="preserve">Accountant</w:t>
      </w:r>
      <w:r>
        <w:t xml:space="preserve"> </w:t>
      </w:r>
      <w:r>
        <w:t xml:space="preserve">Marketing</w:t>
      </w:r>
      <w:r>
        <w:t xml:space="preserve"> </w:t>
      </w:r>
      <w:r>
        <w:t xml:space="preserve">Plan</w:t>
      </w:r>
    </w:p>
    <w:bookmarkStart w:id="32" w:name="X3b7f68c89a9c922fa96f484ffefe154db43367d"/>
    <w:p>
      <w:pPr>
        <w:pStyle w:val="Heading1"/>
      </w:pPr>
      <w:r>
        <w:t xml:space="preserve">Comprehensive Marketing Plan for Accounting Services in Malaysia Kuala Lumpur</w:t>
      </w:r>
    </w:p>
    <w:bookmarkStart w:id="20" w:name="executive-summary"/>
    <w:p>
      <w:pPr>
        <w:pStyle w:val="Heading2"/>
      </w:pPr>
      <w:r>
        <w:t xml:space="preserve">Executive Summary</w:t>
      </w:r>
    </w:p>
    <w:p>
      <w:pPr>
        <w:pStyle w:val="FirstParagraph"/>
      </w:pPr>
      <w:r>
        <w:t xml:space="preserve">This marketing plan outlines a strategic approach for establishing and scaling an accounting service provider targeting businesses across Malaysia Kuala Lumpur. With Kuala Lumpur serving as the financial hub of Malaysia, we identify a critical need for specialized accounting solutions that navigate local regulatory complexities while delivering international standards. Our strategy focuses on positioning our firm as the premier choice for Malaysian SMEs seeking compliant, technology-driven accounting services. By leveraging Kuala Lumpur's dynamic business ecosystem and addressing unique market gaps, this plan projects 35% client acquisition growth within 18 months through hyper-localized marketing and digital engagement.</w:t>
      </w:r>
    </w:p>
    <w:bookmarkEnd w:id="20"/>
    <w:bookmarkStart w:id="21" w:name="X96f0dd99fe9f54326335f55c1693308d89b5fa1"/>
    <w:p>
      <w:pPr>
        <w:pStyle w:val="Heading2"/>
      </w:pPr>
      <w:r>
        <w:t xml:space="preserve">Situation Analysis: Malaysia Kuala Lumpur Accounting Landscape</w:t>
      </w:r>
    </w:p>
    <w:p>
      <w:pPr>
        <w:pStyle w:val="FirstParagraph"/>
      </w:pPr>
      <w:r>
        <w:t xml:space="preserve">Malaysia's accounting sector in Kuala Lumpur faces significant challenges including: (1) Complex tax regulations under the Inland Revenue Board (IRB) requiring constant updates, (2) 68% of SMEs struggling with cash flow management due to inadequate financial oversight, and (3) Limited adoption of cloud-based accounting tools despite government digitalization initiatives. Competitor analysis reveals gaps in localized service—existing firms either offer generic solutions or lack cultural fluency with Malaysian business practices. The absence of accountants who combine deep Malaysia tax knowledge with modern digital tools creates our competitive advantage.</w:t>
      </w:r>
    </w:p>
    <w:bookmarkEnd w:id="21"/>
    <w:bookmarkStart w:id="22" w:name="target-market-segmentation"/>
    <w:p>
      <w:pPr>
        <w:pStyle w:val="Heading2"/>
      </w:pPr>
      <w:r>
        <w:t xml:space="preserve">Target Market Segmentation</w:t>
      </w:r>
    </w:p>
    <w:p>
      <w:pPr>
        <w:pStyle w:val="FirstParagraph"/>
      </w:pPr>
      <w:r>
        <w:t xml:space="preserve">Our primary focus is on Kuala Lumpur-based SMEs (10-50 employees) in high-growth sectors: retail, e-commerce, and professional services. These businesses require compliant tax filing under Malaysia's Revised Tax Act 2024 while seeking efficiency. Secondary targets include foreign-owned entities operating in KL who face cross-border accounting challenges. Key demographics include business owners aged 35-55 with annual revenue between RM1M-RM10M, prioritizing cost-effective solutions that reduce audit risks by 40%.</w:t>
      </w:r>
    </w:p>
    <w:bookmarkEnd w:id="22"/>
    <w:bookmarkStart w:id="23" w:name="marketing-objectives"/>
    <w:p>
      <w:pPr>
        <w:pStyle w:val="Heading2"/>
      </w:pPr>
      <w:r>
        <w:t xml:space="preserve">Marketing Objectives</w:t>
      </w:r>
    </w:p>
    <w:p>
      <w:pPr>
        <w:numPr>
          <w:ilvl w:val="0"/>
          <w:numId w:val="1001"/>
        </w:numPr>
        <w:pStyle w:val="Compact"/>
      </w:pPr>
      <w:r>
        <w:t xml:space="preserve">Acquire 75 new SME clients in Malaysia Kuala Lumpur within 18 months (35% growth from current base)</w:t>
      </w:r>
    </w:p>
    <w:p>
      <w:pPr>
        <w:numPr>
          <w:ilvl w:val="0"/>
          <w:numId w:val="1001"/>
        </w:numPr>
        <w:pStyle w:val="Compact"/>
      </w:pPr>
      <w:r>
        <w:t xml:space="preserve">Achieve 85% client retention through personalized service tailored to KL business cycles</w:t>
      </w:r>
    </w:p>
    <w:p>
      <w:pPr>
        <w:numPr>
          <w:ilvl w:val="0"/>
          <w:numId w:val="1001"/>
        </w:numPr>
        <w:pStyle w:val="Compact"/>
      </w:pPr>
      <w:r>
        <w:t xml:space="preserve">Generate RM2.4M in new service revenue by Year 2, capturing 3.5% market share in KL's accounting services segment</w:t>
      </w:r>
    </w:p>
    <w:p>
      <w:pPr>
        <w:numPr>
          <w:ilvl w:val="0"/>
          <w:numId w:val="1001"/>
        </w:numPr>
        <w:pStyle w:val="Compact"/>
      </w:pPr>
      <w:r>
        <w:t xml:space="preserve">Establish thought leadership through Malaysia-specific content driving 150 qualified leads/month</w:t>
      </w:r>
    </w:p>
    <w:bookmarkEnd w:id="23"/>
    <w:bookmarkStart w:id="28" w:name="X7e087903a5694f373476c6f6e3155fc20bdae8e"/>
    <w:p>
      <w:pPr>
        <w:pStyle w:val="Heading2"/>
      </w:pPr>
      <w:r>
        <w:t xml:space="preserve">Marketing Strategies (The 4 Ps for Malaysian Accountant Services)</w:t>
      </w:r>
    </w:p>
    <w:bookmarkStart w:id="24" w:name="X5d84396c284ee012ab14ac3f2d4edd2faa99e2f"/>
    <w:p>
      <w:pPr>
        <w:pStyle w:val="Heading3"/>
      </w:pPr>
      <w:r>
        <w:t xml:space="preserve">Product: Culturally-Adapted Accounting Solutions</w:t>
      </w:r>
    </w:p>
    <w:p>
      <w:pPr>
        <w:pStyle w:val="FirstParagraph"/>
      </w:pPr>
      <w:r>
        <w:t xml:space="preserve">We develop a suite of services specifically engineered for Malaysia Kuala Lumpur's business context:</w:t>
      </w:r>
    </w:p>
    <w:p>
      <w:pPr>
        <w:numPr>
          <w:ilvl w:val="0"/>
          <w:numId w:val="1002"/>
        </w:numPr>
        <w:pStyle w:val="Compact"/>
      </w:pPr>
      <w:r>
        <w:rPr>
          <w:bCs/>
          <w:b/>
        </w:rPr>
        <w:t xml:space="preserve">KL Tax Compliance Package:</w:t>
      </w:r>
      <w:r>
        <w:t xml:space="preserve"> </w:t>
      </w:r>
      <w:r>
        <w:t xml:space="preserve">Monthly tax filings aligned with IRB regulations, including EPF/SOCSO calculations and GST filing (now SSM e-Tax)</w:t>
      </w:r>
    </w:p>
    <w:p>
      <w:pPr>
        <w:numPr>
          <w:ilvl w:val="0"/>
          <w:numId w:val="1002"/>
        </w:numPr>
        <w:pStyle w:val="Compact"/>
      </w:pPr>
      <w:r>
        <w:rPr>
          <w:bCs/>
          <w:b/>
        </w:rPr>
        <w:t xml:space="preserve">Malaysia Cash Flow Optimizer:</w:t>
      </w:r>
      <w:r>
        <w:t xml:space="preserve"> </w:t>
      </w:r>
      <w:r>
        <w:t xml:space="preserve">AI-driven forecasting tool integrated with Malaysian banking APIs for real-time cash flow analysis</w:t>
      </w:r>
    </w:p>
    <w:p>
      <w:pPr>
        <w:numPr>
          <w:ilvl w:val="0"/>
          <w:numId w:val="1002"/>
        </w:numPr>
        <w:pStyle w:val="Compact"/>
      </w:pPr>
      <w:r>
        <w:rPr>
          <w:bCs/>
          <w:b/>
        </w:rPr>
        <w:t xml:space="preserve">SME Digital Transformation Package:</w:t>
      </w:r>
      <w:r>
        <w:t xml:space="preserve"> </w:t>
      </w:r>
      <w:r>
        <w:t xml:space="preserve">Cloud accounting migration (QuickBooks Malaysia, MYOB) with Malay/English bilingual support</w:t>
      </w:r>
    </w:p>
    <w:p>
      <w:pPr>
        <w:pStyle w:val="FirstParagraph"/>
      </w:pPr>
      <w:r>
        <w:t xml:space="preserve">All services include free consultation on upcoming Malaysia Budget changes (e.g., 2025 corporate tax rate adjustments), differentiating us from generic accountants.</w:t>
      </w:r>
    </w:p>
    <w:bookmarkEnd w:id="24"/>
    <w:bookmarkStart w:id="25" w:name="X04990d3c5f4ed6ef821518beb57534b7587e6ad"/>
    <w:p>
      <w:pPr>
        <w:pStyle w:val="Heading3"/>
      </w:pPr>
      <w:r>
        <w:t xml:space="preserve">Pricing: Value-Based Strategy for KL Market</w:t>
      </w:r>
    </w:p>
    <w:p>
      <w:pPr>
        <w:pStyle w:val="FirstParagraph"/>
      </w:pPr>
      <w:r>
        <w:t xml:space="preserve">Competitive pricing structured to overcome cost barriers in Malaysia Kuala Lumpur:</w:t>
      </w:r>
    </w:p>
    <w:p>
      <w:pPr>
        <w:numPr>
          <w:ilvl w:val="0"/>
          <w:numId w:val="1003"/>
        </w:numPr>
        <w:pStyle w:val="Compact"/>
      </w:pPr>
      <w:r>
        <w:t xml:space="preserve">Essential Package: RM1,200/month (tax filing + basic reporting - 25% below KL average)</w:t>
      </w:r>
    </w:p>
    <w:p>
      <w:pPr>
        <w:numPr>
          <w:ilvl w:val="0"/>
          <w:numId w:val="1003"/>
        </w:numPr>
        <w:pStyle w:val="Compact"/>
      </w:pPr>
      <w:r>
        <w:t xml:space="preserve">Growth Package: RM2,400/month (includes cash flow management + quarterly business health reports)</w:t>
      </w:r>
    </w:p>
    <w:p>
      <w:pPr>
        <w:numPr>
          <w:ilvl w:val="0"/>
          <w:numId w:val="1003"/>
        </w:numPr>
        <w:pStyle w:val="Compact"/>
      </w:pPr>
      <w:r>
        <w:t xml:space="preserve">Enterprise Suite: Custom pricing for multinational subsidiaries operating in KL</w:t>
      </w:r>
    </w:p>
    <w:p>
      <w:pPr>
        <w:pStyle w:val="FirstParagraph"/>
      </w:pPr>
      <w:r>
        <w:t xml:space="preserve">We offer a 3-month trial with full Malaysia tax compliance guarantee, reducing perceived risk for new clients.</w:t>
      </w:r>
    </w:p>
    <w:bookmarkEnd w:id="25"/>
    <w:bookmarkStart w:id="26" w:name="place-hyper-local-service-delivery"/>
    <w:p>
      <w:pPr>
        <w:pStyle w:val="Heading3"/>
      </w:pPr>
      <w:r>
        <w:t xml:space="preserve">Place: Hyper-Local Service Delivery</w:t>
      </w:r>
    </w:p>
    <w:p>
      <w:pPr>
        <w:pStyle w:val="FirstParagraph"/>
      </w:pPr>
      <w:r>
        <w:t xml:space="preserve">Service delivery integrates Kuala Lumpur's business geography:</w:t>
      </w:r>
    </w:p>
    <w:p>
      <w:pPr>
        <w:numPr>
          <w:ilvl w:val="0"/>
          <w:numId w:val="1004"/>
        </w:numPr>
        <w:pStyle w:val="Compact"/>
      </w:pPr>
      <w:r>
        <w:t xml:space="preserve">Physical presence in KLCC Business District for face-to-face consultations (15-minute walk from MRT stations)</w:t>
      </w:r>
    </w:p>
    <w:p>
      <w:pPr>
        <w:numPr>
          <w:ilvl w:val="0"/>
          <w:numId w:val="1004"/>
        </w:numPr>
        <w:pStyle w:val="Compact"/>
      </w:pPr>
      <w:r>
        <w:t xml:space="preserve">Dedicated Malaysia-based support team fluent in Bahasa Melayu, English, and Mandarin</w:t>
      </w:r>
    </w:p>
    <w:p>
      <w:pPr>
        <w:numPr>
          <w:ilvl w:val="0"/>
          <w:numId w:val="1004"/>
        </w:numPr>
        <w:pStyle w:val="Compact"/>
      </w:pPr>
      <w:r>
        <w:t xml:space="preserve">Virtual meetings via Zoom/Teams with 24-hour response time during KL business hours (9am-6pm MYT)</w:t>
      </w:r>
    </w:p>
    <w:bookmarkEnd w:id="26"/>
    <w:bookmarkStart w:id="27" w:name="X92bc65673bc0b9cd4a6664883b99eefa322e480"/>
    <w:p>
      <w:pPr>
        <w:pStyle w:val="Heading3"/>
      </w:pPr>
      <w:r>
        <w:t xml:space="preserve">Promotion: Malaysia-Centric Digital &amp; Community Engagement</w:t>
      </w:r>
    </w:p>
    <w:p>
      <w:pPr>
        <w:pStyle w:val="FirstParagraph"/>
      </w:pPr>
      <w:r>
        <w:t xml:space="preserve">Our promotional strategy targets Malaysian business owners through culturally resonant channels:</w:t>
      </w:r>
    </w:p>
    <w:p>
      <w:pPr>
        <w:numPr>
          <w:ilvl w:val="0"/>
          <w:numId w:val="1005"/>
        </w:numPr>
        <w:pStyle w:val="Compact"/>
      </w:pPr>
      <w:r>
        <w:rPr>
          <w:bCs/>
          <w:b/>
        </w:rPr>
        <w:t xml:space="preserve">Content Marketing:</w:t>
      </w:r>
      <w:r>
        <w:t xml:space="preserve"> </w:t>
      </w:r>
      <w:r>
        <w:t xml:space="preserve">Publish "KL Business Tax Guide" series on LinkedIn and Instagram addressing local pain points (e.g., "How to Handle 2024 GST Refunds for Kuala Lumpur Retailers")</w:t>
      </w:r>
    </w:p>
    <w:p>
      <w:pPr>
        <w:numPr>
          <w:ilvl w:val="0"/>
          <w:numId w:val="1005"/>
        </w:numPr>
        <w:pStyle w:val="Compact"/>
      </w:pPr>
      <w:r>
        <w:rPr>
          <w:bCs/>
          <w:b/>
        </w:rPr>
        <w:t xml:space="preserve">Strategic Partnerships:</w:t>
      </w:r>
      <w:r>
        <w:t xml:space="preserve"> </w:t>
      </w:r>
      <w:r>
        <w:t xml:space="preserve">Collaborate with KL-based chambers (MCCB, MDEC) for co-hosted workshops on "Malaysia Compliance Updates"</w:t>
      </w:r>
    </w:p>
    <w:p>
      <w:pPr>
        <w:numPr>
          <w:ilvl w:val="0"/>
          <w:numId w:val="1005"/>
        </w:numPr>
        <w:pStyle w:val="Compact"/>
      </w:pPr>
      <w:r>
        <w:rPr>
          <w:bCs/>
          <w:b/>
        </w:rPr>
        <w:t xml:space="preserve">Local SEO Optimization:</w:t>
      </w:r>
      <w:r>
        <w:t xml:space="preserve"> </w:t>
      </w:r>
      <w:r>
        <w:t xml:space="preserve">Target keywords like "Kuala Lumpur accountant for SME," "Malaysian tax specialist KL," and "MYOB consultant Kuala Lumpur"</w:t>
      </w:r>
    </w:p>
    <w:p>
      <w:pPr>
        <w:numPr>
          <w:ilvl w:val="0"/>
          <w:numId w:val="1005"/>
        </w:numPr>
        <w:pStyle w:val="Compact"/>
      </w:pPr>
      <w:r>
        <w:rPr>
          <w:bCs/>
          <w:b/>
        </w:rPr>
        <w:t xml:space="preserve">Social Proof:</w:t>
      </w:r>
      <w:r>
        <w:t xml:space="preserve"> </w:t>
      </w:r>
      <w:r>
        <w:t xml:space="preserve">Feature case studies from KL clients (e.g., "How we reduced Klang Valley bakery's tax liability by 22%")</w:t>
      </w:r>
    </w:p>
    <w:bookmarkEnd w:id="27"/>
    <w:bookmarkEnd w:id="28"/>
    <w:bookmarkStart w:id="29"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Marketing Activities</w:t>
            </w:r>
          </w:p>
        </w:tc>
        <w:tc>
          <w:tcPr/>
          <w:p>
            <w:pPr>
              <w:pStyle w:val="Compact"/>
              <w:jc w:val="left"/>
            </w:pPr>
            <w:r>
              <w:t xml:space="preserve">Budget (RM)</w:t>
            </w:r>
          </w:p>
        </w:tc>
      </w:tr>
      <w:tr>
        <w:tc>
          <w:tcPr/>
          <w:p>
            <w:pPr>
              <w:pStyle w:val="Compact"/>
              <w:jc w:val="left"/>
            </w:pPr>
            <w:r>
              <w:t xml:space="preserve">Q1 2024</w:t>
            </w:r>
          </w:p>
        </w:tc>
        <w:tc>
          <w:tcPr/>
          <w:p>
            <w:pPr>
              <w:pStyle w:val="Compact"/>
              <w:jc w:val="left"/>
            </w:pPr>
            <w:r>
              <w:t xml:space="preserve">Landing page localization, KL chamber partnership kickoff, initial content series launch</w:t>
            </w:r>
          </w:p>
        </w:tc>
        <w:tc>
          <w:tcPr/>
          <w:p>
            <w:pPr>
              <w:pStyle w:val="Compact"/>
              <w:jc w:val="left"/>
            </w:pPr>
            <w:r>
              <w:t xml:space="preserve">35,000</w:t>
            </w:r>
          </w:p>
        </w:tc>
      </w:tr>
      <w:tr>
        <w:tc>
          <w:tcPr/>
          <w:p>
            <w:pPr>
              <w:pStyle w:val="Compact"/>
              <w:jc w:val="left"/>
            </w:pPr>
            <w:r>
              <w:t xml:space="preserve">Q2 2024</w:t>
            </w:r>
          </w:p>
        </w:tc>
        <w:tc>
          <w:tcPr/>
          <w:p>
            <w:pPr>
              <w:pStyle w:val="Compact"/>
              <w:jc w:val="left"/>
            </w:pPr>
            <w:r>
              <w:t xml:space="preserve">KL business workshop series (5 events), targeted LinkedIn ads for KL SMEs, SEO optimization</w:t>
            </w:r>
          </w:p>
        </w:tc>
        <w:tc>
          <w:tcPr/>
          <w:p>
            <w:pPr>
              <w:pStyle w:val="Compact"/>
              <w:jc w:val="left"/>
            </w:pPr>
            <w:r>
              <w:t xml:space="preserve">48,000</w:t>
            </w:r>
          </w:p>
        </w:tc>
      </w:tr>
      <w:tr>
        <w:tc>
          <w:tcPr/>
          <w:p>
            <w:pPr>
              <w:pStyle w:val="Compact"/>
              <w:jc w:val="left"/>
            </w:pPr>
            <w:r>
              <w:t xml:space="preserve">Q3 2024</w:t>
            </w:r>
          </w:p>
        </w:tc>
        <w:tc>
          <w:tcPr/>
          <w:p>
            <w:pPr>
              <w:pStyle w:val="Compact"/>
              <w:jc w:val="left"/>
            </w:pPr>
            <w:r>
              <w:t xml:space="preserve">Campaign expansion to Petaling Jaya/Klang Valley, referral program launch (15% discount for KL client referrals)</w:t>
            </w:r>
          </w:p>
        </w:tc>
        <w:tc>
          <w:tcPr/>
          <w:p>
            <w:pPr>
              <w:pStyle w:val="Compact"/>
              <w:jc w:val="left"/>
            </w:pPr>
            <w:r>
              <w:t xml:space="preserve">32,000</w:t>
            </w:r>
          </w:p>
        </w:tc>
      </w:tr>
      <w:tr>
        <w:tc>
          <w:tcPr/>
          <w:p>
            <w:pPr>
              <w:pStyle w:val="Compact"/>
              <w:jc w:val="left"/>
            </w:pPr>
            <w:r>
              <w:t xml:space="preserve">Q4 2024</w:t>
            </w:r>
          </w:p>
        </w:tc>
        <w:tc>
          <w:tcPr/>
          <w:p>
            <w:pPr>
              <w:pStyle w:val="Compact"/>
              <w:jc w:val="left"/>
            </w:pPr>
            <w:r>
              <w:t xml:space="preserve">Year-end tax campaign for Malaysia businesses, client retention initiatives, performance analysis</w:t>
            </w:r>
          </w:p>
        </w:tc>
        <w:tc>
          <w:tcPr/>
          <w:p>
            <w:pPr>
              <w:pStyle w:val="Compact"/>
              <w:jc w:val="left"/>
            </w:pPr>
            <w:r>
              <w:t xml:space="preserve">25,000</w:t>
            </w:r>
          </w:p>
        </w:tc>
      </w:tr>
    </w:tbl>
    <w:bookmarkEnd w:id="29"/>
    <w:bookmarkStart w:id="30" w:name="evaluation-control-mechanisms"/>
    <w:p>
      <w:pPr>
        <w:pStyle w:val="Heading2"/>
      </w:pPr>
      <w:r>
        <w:t xml:space="preserve">Evaluation &amp; Control Mechanisms</w:t>
      </w:r>
    </w:p>
    <w:p>
      <w:pPr>
        <w:pStyle w:val="FirstParagraph"/>
      </w:pPr>
      <w:r>
        <w:t xml:space="preserve">We implement real-time tracking of KPIs specific to the Malaysia Kuala Lumpur market:</w:t>
      </w:r>
    </w:p>
    <w:p>
      <w:pPr>
        <w:numPr>
          <w:ilvl w:val="0"/>
          <w:numId w:val="1006"/>
        </w:numPr>
        <w:pStyle w:val="Compact"/>
      </w:pPr>
      <w:r>
        <w:rPr>
          <w:bCs/>
          <w:b/>
        </w:rPr>
        <w:t xml:space="preserve">Lead Quality:</w:t>
      </w:r>
      <w:r>
        <w:t xml:space="preserve"> </w:t>
      </w:r>
      <w:r>
        <w:t xml:space="preserve">65%+ conversion from KL-targeted content (measured via UTM codes on Malaysian social media)</w:t>
      </w:r>
    </w:p>
    <w:p>
      <w:pPr>
        <w:numPr>
          <w:ilvl w:val="0"/>
          <w:numId w:val="1006"/>
        </w:numPr>
        <w:pStyle w:val="Compact"/>
      </w:pPr>
      <w:r>
        <w:rPr>
          <w:bCs/>
          <w:b/>
        </w:rPr>
        <w:t xml:space="preserve">Client Acquisition Cost:</w:t>
      </w:r>
      <w:r>
        <w:t xml:space="preserve"> </w:t>
      </w:r>
      <w:r>
        <w:t xml:space="preserve">Target RM1,800 per new KL client (below industry average of RM2,300)</w:t>
      </w:r>
    </w:p>
    <w:p>
      <w:pPr>
        <w:numPr>
          <w:ilvl w:val="0"/>
          <w:numId w:val="1006"/>
        </w:numPr>
        <w:pStyle w:val="Compact"/>
      </w:pPr>
      <w:r>
        <w:rPr>
          <w:bCs/>
          <w:b/>
        </w:rPr>
        <w:t xml:space="preserve">Sentiment Analysis:</w:t>
      </w:r>
      <w:r>
        <w:t xml:space="preserve"> </w:t>
      </w:r>
      <w:r>
        <w:t xml:space="preserve">Monthly review of Malaysia-specific Google Reviews and Facebook feedback</w:t>
      </w:r>
    </w:p>
    <w:p>
      <w:pPr>
        <w:numPr>
          <w:ilvl w:val="0"/>
          <w:numId w:val="1006"/>
        </w:numPr>
        <w:pStyle w:val="Compact"/>
      </w:pPr>
      <w:r>
        <w:rPr>
          <w:bCs/>
          <w:b/>
        </w:rPr>
        <w:t xml:space="preserve">Regulatory Alignment:</w:t>
      </w:r>
      <w:r>
        <w:t xml:space="preserve"> </w:t>
      </w:r>
      <w:r>
        <w:t xml:space="preserve">Quarterly audit to ensure all services comply with latest IRB directives in Malaysia</w:t>
      </w:r>
    </w:p>
    <w:p>
      <w:pPr>
        <w:pStyle w:val="FirstParagraph"/>
      </w:pPr>
      <w:r>
        <w:t xml:space="preserve">Bi-monthly steering committee meetings with KL business owners will refine strategy based on local market shifts, such as new Malaysia Budget announcements.</w:t>
      </w:r>
    </w:p>
    <w:bookmarkEnd w:id="30"/>
    <w:bookmarkStart w:id="31" w:name="Xe797ff195935631a808c14807f0741aa23db0e7"/>
    <w:p>
      <w:pPr>
        <w:pStyle w:val="Heading2"/>
      </w:pPr>
      <w:r>
        <w:t xml:space="preserve">Conclusion: The Malaysian Accountant Advantage</w:t>
      </w:r>
    </w:p>
    <w:p>
      <w:pPr>
        <w:pStyle w:val="FirstParagraph"/>
      </w:pPr>
      <w:r>
        <w:t xml:space="preserve">This Marketing Plan positions our firm not just as an accountant but as a strategic partner for growth in Malaysia Kuala Lumpur's evolving economy. By embedding deep knowledge of Malaysian tax law, cultural understanding of KL business practices, and technology tailored to local banking systems, we solve the critical gaps that prevent SMEs from thriving. Our commitment to Malaysia-specific service delivery—verified through partnerships with KL business associations and real-time adaptation to IRB changes—ensures sustainable growth in this high-potential market. As the premier accountant for businesses navigating Kuala Lumpur's unique commercial landscape, we project not only meeting but exceeding our targets by making compliance effortless and growth-focused.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Malaysia Kuala Lumpur Accountant Marketing Plan</dc:title>
  <dc:creator/>
  <dc:language>en</dc:language>
  <cp:keywords/>
  <dcterms:created xsi:type="dcterms:W3CDTF">2026-07-21T06:06:03Z</dcterms:created>
  <dcterms:modified xsi:type="dcterms:W3CDTF">2026-07-21T06:06:03Z</dcterms:modified>
</cp:coreProperties>
</file>

<file path=docProps/custom.xml><?xml version="1.0" encoding="utf-8"?>
<Properties xmlns="http://schemas.openxmlformats.org/officeDocument/2006/custom-properties" xmlns:vt="http://schemas.openxmlformats.org/officeDocument/2006/docPropsVTypes"/>
</file>