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1" w:name="Xd50ded81386057153b1b942395294ffea248922"/>
    <w:p>
      <w:pPr>
        <w:pStyle w:val="Heading1"/>
      </w:pPr>
      <w:r>
        <w:t xml:space="preserve">Strategic Marketing Plan for Premium Accountant Services in Philippines Manila</w:t>
      </w:r>
    </w:p>
    <w:bookmarkStart w:id="20" w:name="executive-summary"/>
    <w:p>
      <w:pPr>
        <w:pStyle w:val="Heading2"/>
      </w:pPr>
      <w:r>
        <w:t xml:space="preserve">Executive Summary</w:t>
      </w:r>
    </w:p>
    <w:p>
      <w:pPr>
        <w:pStyle w:val="FirstParagraph"/>
      </w:pPr>
      <w:r>
        <w:t xml:space="preserve">This comprehensive Marketing Plan outlines a targeted strategy to establish a leading Accountant service provider within the dynamic business ecosystem of Philippines Manila. As Manila remains the economic heart of the Philippines, with over 65% of national GDP generated in Metro Manila, demand for reliable accounting expertise has surged due to evolving tax regulations (e.g., Tax Reform Act of 2017), digitalization mandates by the Bureau of Internal Revenue (BIR), and rapid SME growth. Our Marketing Plan positions our Accountant services as the indispensable partner for businesses navigating Manila's complex financial landscape, leveraging local market intelligence and digital innovation to deliver measurable value.</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unique opportunities and challenges. With over 1.5 million SMEs operating in Metro Manila (DTI 2023), many struggle with tax compliance, financial reporting inaccuracies, and inefficient bookkeeping practices. The BIR's shift to fully online filing (e.g., BIR Form 1701) has intensified the need for tech-savvy Accountants who understand local systems. Competitors often lack cultural nuance—relying on generic offshore models that fail to address Manila-specific pain points like seasonal tax surcharges or municipal business permit complexities in Quezon City vs. Makati.</w:t>
      </w:r>
    </w:p>
    <w:p>
      <w:pPr>
        <w:pStyle w:val="BodyText"/>
      </w:pPr>
      <w:r>
        <w:t xml:space="preserve">Key trends include rising demand for cloud accounting (62% of Manila businesses now use software), increasing regulatory scrutiny, and SMEs prioritizing cost-effective digital solutions over traditional paper-based processes. Our Market Plan capitalizes on this by positioning our Accountant services as the bridge between global best practices and Manila’s regulatory realities.</w:t>
      </w:r>
    </w:p>
    <w:bookmarkEnd w:id="21"/>
    <w:bookmarkStart w:id="22" w:name="X6a6de761f95760ad6bc8d39072f98749cdfcbc3"/>
    <w:p>
      <w:pPr>
        <w:pStyle w:val="Heading2"/>
      </w:pPr>
      <w:r>
        <w:t xml:space="preserve">Target Audience: Philippine Business Segments</w:t>
      </w:r>
    </w:p>
    <w:p>
      <w:pPr>
        <w:pStyle w:val="FirstParagraph"/>
      </w:pPr>
      <w:r>
        <w:t xml:space="preserve">We focus on three high-potential segments within Philippines Manila:</w:t>
      </w:r>
    </w:p>
    <w:p>
      <w:pPr>
        <w:numPr>
          <w:ilvl w:val="0"/>
          <w:numId w:val="1001"/>
        </w:numPr>
        <w:pStyle w:val="Compact"/>
      </w:pPr>
      <w:r>
        <w:rPr>
          <w:bCs/>
          <w:b/>
        </w:rPr>
        <w:t xml:space="preserve">SMEs in Growth Phase (5–50 employees):</w:t>
      </w:r>
      <w:r>
        <w:t xml:space="preserve"> </w:t>
      </w:r>
      <w:r>
        <w:t xml:space="preserve">Tech startups, retail chains, and service providers in Bonifacio Global City (BGC) and Ortigas Center seeking scalable accounting support.</w:t>
      </w:r>
    </w:p>
    <w:p>
      <w:pPr>
        <w:numPr>
          <w:ilvl w:val="0"/>
          <w:numId w:val="1001"/>
        </w:numPr>
        <w:pStyle w:val="Compact"/>
      </w:pPr>
      <w:r>
        <w:rPr>
          <w:bCs/>
          <w:b/>
        </w:rPr>
        <w:t xml:space="preserve">Family-Owned Businesses:</w:t>
      </w:r>
      <w:r>
        <w:t xml:space="preserve"> </w:t>
      </w:r>
      <w:r>
        <w:t xml:space="preserve">Traditional enterprises in Manila’s historic districts (e.g., Binondo, Ermita) requiring modernization without disrupting legacy operations.</w:t>
      </w:r>
    </w:p>
    <w:p>
      <w:pPr>
        <w:numPr>
          <w:ilvl w:val="0"/>
          <w:numId w:val="1001"/>
        </w:numPr>
        <w:pStyle w:val="Compact"/>
      </w:pPr>
      <w:r>
        <w:rPr>
          <w:bCs/>
          <w:b/>
        </w:rPr>
        <w:t xml:space="preserve">Foreign-Owned Entities:</w:t>
      </w:r>
      <w:r>
        <w:t xml:space="preserve"> </w:t>
      </w:r>
      <w:r>
        <w:t xml:space="preserve">Multinationals operating in Manila needing local tax expertise to comply with Philippine foreign investment laws and BIR regulations.</w:t>
      </w:r>
    </w:p>
    <w:bookmarkEnd w:id="22"/>
    <w:bookmarkStart w:id="23" w:name="Xf40620b79bb6d25c8dfb30ef5f4740de6c31dec"/>
    <w:p>
      <w:pPr>
        <w:pStyle w:val="Heading2"/>
      </w:pPr>
      <w:r>
        <w:t xml:space="preserve">Service Differentiation: The Manila Advantage</w:t>
      </w:r>
    </w:p>
    <w:p>
      <w:pPr>
        <w:pStyle w:val="FirstParagraph"/>
      </w:pPr>
      <w:r>
        <w:t xml:space="preserve">Our Accountant services transcend standard bookkeeping by embedding deep Philippines Manila knowledge. Unlike generic providers, we offer:</w:t>
      </w:r>
    </w:p>
    <w:p>
      <w:pPr>
        <w:numPr>
          <w:ilvl w:val="0"/>
          <w:numId w:val="1002"/>
        </w:numPr>
        <w:pStyle w:val="Compact"/>
      </w:pPr>
      <w:r>
        <w:rPr>
          <w:bCs/>
          <w:b/>
        </w:rPr>
        <w:t xml:space="preserve">Hyper-Local BIR Compliance:</w:t>
      </w:r>
      <w:r>
        <w:t xml:space="preserve"> </w:t>
      </w:r>
      <w:r>
        <w:t xml:space="preserve">Dedicated expertise in Manila-specific tax deadlines (e.g., Quarterly Income Tax for Makati businesses) and BIR forms like 1702Q.</w:t>
      </w:r>
    </w:p>
    <w:p>
      <w:pPr>
        <w:numPr>
          <w:ilvl w:val="0"/>
          <w:numId w:val="1002"/>
        </w:numPr>
        <w:pStyle w:val="Compact"/>
      </w:pPr>
      <w:r>
        <w:rPr>
          <w:bCs/>
          <w:b/>
        </w:rPr>
        <w:t xml:space="preserve">Digital Integration:</w:t>
      </w:r>
      <w:r>
        <w:t xml:space="preserve"> </w:t>
      </w:r>
      <w:r>
        <w:t xml:space="preserve">Cloud platforms pre-configured for Philippine accounting standards (PFRS), with real-time reporting accessible via mobile apps—critical for Manila’s fast-paced business environment.</w:t>
      </w:r>
    </w:p>
    <w:p>
      <w:pPr>
        <w:numPr>
          <w:ilvl w:val="0"/>
          <w:numId w:val="1002"/>
        </w:numPr>
        <w:pStyle w:val="Compact"/>
      </w:pPr>
      <w:r>
        <w:rPr>
          <w:bCs/>
          <w:b/>
        </w:rPr>
        <w:t xml:space="preserve">Cultural Fluency:</w:t>
      </w:r>
      <w:r>
        <w:t xml:space="preserve"> </w:t>
      </w:r>
      <w:r>
        <w:t xml:space="preserve">Accountants fluent in Tagalog/English who understand Filipino business etiquette, reducing communication friction common in offshore models.</w:t>
      </w:r>
    </w:p>
    <w:bookmarkEnd w:id="23"/>
    <w:bookmarkStart w:id="27" w:name="marketing-strategies-tactics"/>
    <w:p>
      <w:pPr>
        <w:pStyle w:val="Heading2"/>
      </w:pPr>
      <w:r>
        <w:t xml:space="preserve">Marketing Strategies &amp; Tactics</w:t>
      </w:r>
    </w:p>
    <w:p>
      <w:pPr>
        <w:pStyle w:val="FirstParagraph"/>
      </w:pPr>
      <w:r>
        <w:t xml:space="preserve">This Marketing Plan employs a multi-channel approach tailored to Manila’s digital and physical landscape:</w:t>
      </w:r>
    </w:p>
    <w:bookmarkStart w:id="24" w:name="digital-lead-generation-60-of-budget"/>
    <w:p>
      <w:pPr>
        <w:pStyle w:val="Heading3"/>
      </w:pPr>
      <w:r>
        <w:t xml:space="preserve">1. Digital Lead Generation (60% of Budget)</w:t>
      </w:r>
    </w:p>
    <w:p>
      <w:pPr>
        <w:numPr>
          <w:ilvl w:val="0"/>
          <w:numId w:val="1003"/>
        </w:numPr>
        <w:pStyle w:val="Compact"/>
      </w:pPr>
      <w:r>
        <w:rPr>
          <w:bCs/>
          <w:b/>
        </w:rPr>
        <w:t xml:space="preserve">Geo-Targeted Social Media:</w:t>
      </w:r>
      <w:r>
        <w:t xml:space="preserve"> </w:t>
      </w:r>
      <w:r>
        <w:t xml:space="preserve">Facebook/Instagram ads targeting SMEs in Manila zones (e.g., "Accountant services for businesses in Quezon City" with BIR compliance tips as lead magnets).</w:t>
      </w:r>
    </w:p>
    <w:p>
      <w:pPr>
        <w:numPr>
          <w:ilvl w:val="0"/>
          <w:numId w:val="1003"/>
        </w:numPr>
        <w:pStyle w:val="Compact"/>
      </w:pPr>
      <w:r>
        <w:rPr>
          <w:bCs/>
          <w:b/>
        </w:rPr>
        <w:t xml:space="preserve">SEO Localization:</w:t>
      </w:r>
      <w:r>
        <w:t xml:space="preserve"> </w:t>
      </w:r>
      <w:r>
        <w:t xml:space="preserve">Blog content optimized for keywords like "affordable Accountant in Manila," "BIR filing help Makati," attracting local search traffic.</w:t>
      </w:r>
    </w:p>
    <w:p>
      <w:pPr>
        <w:numPr>
          <w:ilvl w:val="0"/>
          <w:numId w:val="1003"/>
        </w:numPr>
        <w:pStyle w:val="Compact"/>
      </w:pPr>
      <w:r>
        <w:rPr>
          <w:bCs/>
          <w:b/>
        </w:rPr>
        <w:t xml:space="preserve">Webinars:</w:t>
      </w:r>
      <w:r>
        <w:t xml:space="preserve"> </w:t>
      </w:r>
      <w:r>
        <w:t xml:space="preserve">Free monthly sessions hosted in Tagalog/English addressing Manila-specific topics (e.g., "2024 Tax Deadlines for BGC Restaurants").</w:t>
      </w:r>
    </w:p>
    <w:bookmarkEnd w:id="24"/>
    <w:bookmarkStart w:id="25" w:name="X1ce40350bf4963827f814072aa847796864bc18"/>
    <w:p>
      <w:pPr>
        <w:pStyle w:val="Heading3"/>
      </w:pPr>
      <w:r>
        <w:t xml:space="preserve">2. Community &amp; Partnership Building (30% of Budget)</w:t>
      </w:r>
    </w:p>
    <w:p>
      <w:pPr>
        <w:numPr>
          <w:ilvl w:val="0"/>
          <w:numId w:val="1004"/>
        </w:numPr>
        <w:pStyle w:val="Compact"/>
      </w:pPr>
      <w:r>
        <w:rPr>
          <w:bCs/>
          <w:b/>
        </w:rPr>
        <w:t xml:space="preserve">Chamber of Commerce Collaborations:</w:t>
      </w:r>
      <w:r>
        <w:t xml:space="preserve"> </w:t>
      </w:r>
      <w:r>
        <w:t xml:space="preserve">Partnering with Manila’s Chamber of Commerce and Industry (MCCI) to host free tax workshops at their venues in Pasig City.</w:t>
      </w:r>
    </w:p>
    <w:p>
      <w:pPr>
        <w:numPr>
          <w:ilvl w:val="0"/>
          <w:numId w:val="1004"/>
        </w:numPr>
        <w:pStyle w:val="Compact"/>
      </w:pPr>
      <w:r>
        <w:rPr>
          <w:bCs/>
          <w:b/>
        </w:rPr>
        <w:t xml:space="preserve">SME Networking Events:</w:t>
      </w:r>
      <w:r>
        <w:t xml:space="preserve"> </w:t>
      </w:r>
      <w:r>
        <w:t xml:space="preserve">Sponsorship of events like "Manila Startup Week" to showcase our Accountant services through case studies (e.g., "How we helped a Manila café reduce tax liability by 22%").</w:t>
      </w:r>
    </w:p>
    <w:p>
      <w:pPr>
        <w:numPr>
          <w:ilvl w:val="0"/>
          <w:numId w:val="1004"/>
        </w:numPr>
        <w:pStyle w:val="Compact"/>
      </w:pPr>
      <w:r>
        <w:rPr>
          <w:bCs/>
          <w:b/>
        </w:rPr>
        <w:t xml:space="preserve">Referral Programs:</w:t>
      </w:r>
      <w:r>
        <w:t xml:space="preserve"> </w:t>
      </w:r>
      <w:r>
        <w:t xml:space="preserve">Incentivizing current clients for referrals from other Manila businesses via cash rewards or waived service fees.</w:t>
      </w:r>
    </w:p>
    <w:bookmarkEnd w:id="25"/>
    <w:bookmarkStart w:id="26" w:name="brand-positioning-10-of-budget"/>
    <w:p>
      <w:pPr>
        <w:pStyle w:val="Heading3"/>
      </w:pPr>
      <w:r>
        <w:t xml:space="preserve">3. Brand Positioning (10% of Budget)</w:t>
      </w:r>
    </w:p>
    <w:p>
      <w:pPr>
        <w:pStyle w:val="FirstParagraph"/>
      </w:pPr>
      <w:r>
        <w:t xml:space="preserve">We position our Accountant as the "Strategic Financial Partner" for Manila businesses—not just a compliance provider. Messaging emphasizes: "Your Growth, Our Accounting Expertise—Tailored for Manila." This resonates with SMEs seeking long-term partnerships, not transactional services.</w:t>
      </w:r>
    </w:p>
    <w:bookmarkEnd w:id="26"/>
    <w:bookmarkEnd w:id="27"/>
    <w:bookmarkStart w:id="28" w:name="implementation-timeline-kpis"/>
    <w:p>
      <w:pPr>
        <w:pStyle w:val="Heading2"/>
      </w:pPr>
      <w:r>
        <w:t xml:space="preserve">Implementation Timeline &amp; KPIs</w:t>
      </w:r>
    </w:p>
    <w:p>
      <w:pPr>
        <w:pStyle w:val="FirstParagraph"/>
      </w:pPr>
      <w:r>
        <w:t xml:space="preserve">This Marketing Plan executes in phases over 18 months:</w:t>
      </w:r>
    </w:p>
    <w:p>
      <w:pPr>
        <w:pStyle w:val="BodyText"/>
      </w:pPr>
      <w:r>
        <w:t xml:space="preserve">Quarter</w:t>
      </w:r>
    </w:p>
    <w:p>
      <w:pPr>
        <w:pStyle w:val="BodyText"/>
      </w:pPr>
      <w:r>
        <w:t xml:space="preserve">Key Actions</w:t>
      </w:r>
    </w:p>
    <w:p>
      <w:pPr>
        <w:pStyle w:val="BodyText"/>
      </w:pPr>
      <w:r>
        <w:t xml:space="preserve">KPI Targets (Philippines Manila)</w:t>
      </w:r>
    </w:p>
    <w:p>
      <w:pPr>
        <w:pStyle w:val="BodyText"/>
      </w:pPr>
      <w:r>
        <w:t xml:space="preserve">Q1–Q2</w:t>
      </w:r>
    </w:p>
    <w:p>
      <w:pPr>
        <w:pStyle w:val="BodyText"/>
      </w:pPr>
      <w:r>
        <w:t xml:space="preserve">Digital campaign launch; MCCI partnership sign-up</w:t>
      </w:r>
    </w:p>
    <w:p>
      <w:pPr>
        <w:pStyle w:val="BodyText"/>
      </w:pPr>
      <w:r>
        <w:t xml:space="preserve">50 qualified leads/month in Manila; 10% website traffic from Metro Manila</w:t>
      </w:r>
    </w:p>
    <w:p>
      <w:pPr>
        <w:pStyle w:val="BodyText"/>
      </w:pPr>
      <w:r>
        <w:t xml:space="preserve">Q3–Q4</w:t>
      </w:r>
    </w:p>
    <w:p>
      <w:pPr>
        <w:pStyle w:val="BodyText"/>
      </w:pPr>
      <w:r>
        <w:t xml:space="preserve">Workshop series (Makati, Quezon City, Pasig); Referral program rollout</w:t>
      </w:r>
    </w:p>
    <w:p>
      <w:pPr>
        <w:pStyle w:val="BodyText"/>
      </w:pPr>
      <w:r>
        <w:t xml:space="preserve">20 new SME contracts; 75% client retention rate in Manila market</w:t>
      </w:r>
    </w:p>
    <w:p>
      <w:pPr>
        <w:pStyle w:val="BodyText"/>
      </w:pPr>
      <w:r>
        <w:t xml:space="preserve">Q5–Q6</w:t>
      </w:r>
    </w:p>
    <w:p>
      <w:pPr>
        <w:pStyle w:val="BodyText"/>
      </w:pPr>
      <w:r>
        <w:t xml:space="preserve">&lt;</w:t>
      </w:r>
    </w:p>
    <w:p>
      <w:pPr>
        <w:pStyle w:val="BodyText"/>
      </w:pPr>
      <w:r>
        <w:t xml:space="preserve">Social proof amplification: Client testimonials from Manila businesses; Expansion to Cebu for Phase 2 (if successful)</w:t>
      </w:r>
    </w:p>
    <w:p>
      <w:pPr>
        <w:pStyle w:val="BodyText"/>
      </w:pPr>
      <w:r>
        <w:t xml:space="preserve">30% revenue growth from existing Manila clients; 85% Net Promoter Score in Metro Manila</w:t>
      </w:r>
    </w:p>
    <w:bookmarkEnd w:id="28"/>
    <w:bookmarkStart w:id="29" w:name="X7a9804ff676b321151c54376164e7f8386b356c"/>
    <w:p>
      <w:pPr>
        <w:pStyle w:val="Heading2"/>
      </w:pPr>
      <w:r>
        <w:t xml:space="preserve">Why This Marketing Plan Works for Philippines Manila</w:t>
      </w:r>
    </w:p>
    <w:p>
      <w:pPr>
        <w:pStyle w:val="FirstParagraph"/>
      </w:pPr>
      <w:r>
        <w:t xml:space="preserve">This strategy directly addresses the unmet needs of Accountant services in the Philippines. By embedding local knowledge—understanding that a business in Binondo faces different tax considerations than one in Bonifacio Global City—we avoid the pitfalls of generic service models. Our Marketing Plan doesn’t just sell accounting; it sells confidence in navigating Manila’s economic ecosystem. With over 70% of SMEs citing "compliance stress" as their top financial challenge (PSA, 2023), positioning our Accountant as the trusted guide through this maze delivers immediate, tangible value.</w:t>
      </w:r>
    </w:p>
    <w:bookmarkEnd w:id="29"/>
    <w:bookmarkStart w:id="30" w:name="conclusion"/>
    <w:p>
      <w:pPr>
        <w:pStyle w:val="Heading2"/>
      </w:pPr>
      <w:r>
        <w:t xml:space="preserve">Conclusion</w:t>
      </w:r>
    </w:p>
    <w:p>
      <w:pPr>
        <w:pStyle w:val="FirstParagraph"/>
      </w:pPr>
      <w:r>
        <w:t xml:space="preserve">The Philippines Manila market demands an Accountant service that speaks to its unique regulatory and cultural context. This Marketing Plan delivers precisely that—leveraging hyper-local expertise, digital tools, and community engagement to become the go-to financial partner for businesses across Metro Manila. By focusing on real pain points (BIR filings, cash flow visibility) with solutions designed *for* Manila—not just in it—we will achieve sustainable growth while empowering thousands of Philippine enterprises to thrive. The time to act is now: as Manila’s economy accelerates, the right Accountant isn’t just beneficial—it’s essential for survival and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Philippines Manila</dc:title>
  <dc:creator/>
  <dc:language>en</dc:language>
  <cp:keywords/>
  <dcterms:created xsi:type="dcterms:W3CDTF">2026-07-21T04:52:45Z</dcterms:created>
  <dcterms:modified xsi:type="dcterms:W3CDTF">2026-07-21T04:52:45Z</dcterms:modified>
</cp:coreProperties>
</file>

<file path=docProps/custom.xml><?xml version="1.0" encoding="utf-8"?>
<Properties xmlns="http://schemas.openxmlformats.org/officeDocument/2006/custom-properties" xmlns:vt="http://schemas.openxmlformats.org/officeDocument/2006/docPropsVTypes"/>
</file>