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Accounting</w:t>
      </w:r>
      <w:r>
        <w:t xml:space="preserve"> </w:t>
      </w:r>
      <w:r>
        <w:t xml:space="preserve">Marketing</w:t>
      </w:r>
      <w:r>
        <w:t xml:space="preserve"> </w:t>
      </w:r>
      <w:r>
        <w:t xml:space="preserve">Plan</w:t>
      </w:r>
      <w:r>
        <w:t xml:space="preserve"> </w:t>
      </w:r>
      <w:r>
        <w:t xml:space="preserve">for</w:t>
      </w:r>
      <w:r>
        <w:t xml:space="preserve"> </w:t>
      </w:r>
      <w:r>
        <w:t xml:space="preserve">Qatar</w:t>
      </w:r>
      <w:r>
        <w:t xml:space="preserve"> </w:t>
      </w:r>
      <w:r>
        <w:t xml:space="preserve">Doha</w:t>
      </w:r>
    </w:p>
    <w:bookmarkStart w:id="33" w:name="X34aac1fba813925ce04f81d3a36902aef5cd46e"/>
    <w:p>
      <w:pPr>
        <w:pStyle w:val="Heading1"/>
      </w:pPr>
      <w:r>
        <w:t xml:space="preserve">Comprehensive Marketing Plan for Premium Accountant Services in Qatar Doha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accountant services tailored specifically to the dynamic business landscape of Qatar Doha. As the financial hub of the Gulf, Qatar's rapid economic diversification under Vision 2030 has created unprecedented demand for specialized accounting expertise. Our plan targets multinational corporations, local SMEs, and high-net-worth individuals requiring compliance with Qatari regulations (including VAT, Zakat, and MOL requirements). The core objective is to position our accountant services as the most trusted financial partner in Qatar Doha within 24 months through hyper-localized strategies that leverage Qatar's unique business ecosystem.</w:t>
      </w:r>
    </w:p>
    <w:bookmarkEnd w:id="20"/>
    <w:bookmarkStart w:id="21" w:name="Xdc56da66a756e6c6a5c44a05afd31c8649dfc37"/>
    <w:p>
      <w:pPr>
        <w:pStyle w:val="Heading2"/>
      </w:pPr>
      <w:r>
        <w:t xml:space="preserve">Situation Analysis: Qatar Doha Business Environment</w:t>
      </w:r>
    </w:p>
    <w:p>
      <w:pPr>
        <w:pStyle w:val="FirstParagraph"/>
      </w:pPr>
      <w:r>
        <w:t xml:space="preserve">The Qatari economy is undergoing transformative growth with $100+ billion invested in infrastructure projects for the 2022 FIFA World Cup and ongoing expansion of industrial zones like Lusail and Mesaieed. This has generated a surge in business registrations (over 35,000 new entities in 2023 alone). However, only 18% of SMEs maintain certified accountant relationships due to fragmented service offerings. The Ministry of Finance's recent enforcement of strict VAT compliance (6% rate) and mandatory annual financial reporting has intensified demand for reliable accountant services. Crucially, Qatar Doha's business culture prioritizes relationship-based transactions – meaning our Marketing Plan must emphasize local credibility over generic digital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Multinational Corporations:</w:t>
      </w:r>
      <w:r>
        <w:t xml:space="preserve"> </w:t>
      </w:r>
      <w:r>
        <w:t xml:space="preserve">40% of target market seeking Qatari regulatory expertise for regional HQ operations (e.g., oil &amp; gas, construction firms)</w:t>
      </w:r>
    </w:p>
    <w:p>
      <w:pPr>
        <w:numPr>
          <w:ilvl w:val="0"/>
          <w:numId w:val="1001"/>
        </w:numPr>
        <w:pStyle w:val="Compact"/>
      </w:pPr>
      <w:r>
        <w:rPr>
          <w:bCs/>
          <w:b/>
        </w:rPr>
        <w:t xml:space="preserve">SMEs:</w:t>
      </w:r>
      <w:r>
        <w:t xml:space="preserve"> </w:t>
      </w:r>
      <w:r>
        <w:t xml:space="preserve">55% segment including startups and family-owned businesses needing affordable VAT filing and payroll solutions</w:t>
      </w:r>
    </w:p>
    <w:p>
      <w:pPr>
        <w:numPr>
          <w:ilvl w:val="0"/>
          <w:numId w:val="1001"/>
        </w:numPr>
        <w:pStyle w:val="Compact"/>
      </w:pPr>
      <w:r>
        <w:rPr>
          <w:bCs/>
          <w:b/>
        </w:rPr>
        <w:t xml:space="preserve">High-Net-Worth Individuals:</w:t>
      </w:r>
      <w:r>
        <w:t xml:space="preserve"> </w:t>
      </w:r>
      <w:r>
        <w:t xml:space="preserve">5% niche requiring tax-efficient wealth management aligned with Qatar's Islamic finance principles</w:t>
      </w:r>
    </w:p>
    <w:bookmarkEnd w:id="22"/>
    <w:bookmarkStart w:id="23" w:name="marketing-objectives-18-24-month-horizon"/>
    <w:p>
      <w:pPr>
        <w:pStyle w:val="Heading2"/>
      </w:pPr>
      <w:r>
        <w:t xml:space="preserve">Marketing Objectives (18-24 Month Horizon)</w:t>
      </w:r>
    </w:p>
    <w:p>
      <w:pPr>
        <w:numPr>
          <w:ilvl w:val="0"/>
          <w:numId w:val="1002"/>
        </w:numPr>
        <w:pStyle w:val="Compact"/>
      </w:pPr>
      <w:r>
        <w:t xml:space="preserve">Achieve 30% market share among certified accountant service providers in Doha within 2 years</w:t>
      </w:r>
    </w:p>
    <w:bookmarkEnd w:id="23"/>
    <w:bookmarkStart w:id="28" w:name="Xebd8bffefcb0da96c39fe40d4bafce9bb8060c6"/>
    <w:p>
      <w:pPr>
        <w:pStyle w:val="Heading2"/>
      </w:pPr>
      <w:r>
        <w:t xml:space="preserve">Strategic Marketing Mix: The Qatar Doha Advantage</w:t>
      </w:r>
    </w:p>
    <w:bookmarkStart w:id="24" w:name="X1def50d8fb6bbb6ce38e3015a01f946511a0f13"/>
    <w:p>
      <w:pPr>
        <w:pStyle w:val="Heading3"/>
      </w:pPr>
      <w:r>
        <w:t xml:space="preserve">Product Strategy: Hyper-Localized Accounting Solutions</w:t>
      </w:r>
    </w:p>
    <w:p>
      <w:pPr>
        <w:pStyle w:val="FirstParagraph"/>
      </w:pPr>
      <w:r>
        <w:t xml:space="preserve">We've developed three specialized offerings exclusively for Qatar Doha:</w:t>
      </w:r>
    </w:p>
    <w:p>
      <w:pPr>
        <w:numPr>
          <w:ilvl w:val="0"/>
          <w:numId w:val="1003"/>
        </w:numPr>
        <w:pStyle w:val="Compact"/>
      </w:pPr>
      <w:r>
        <w:rPr>
          <w:iCs/>
          <w:i/>
        </w:rPr>
        <w:t xml:space="preserve">Doha Compliance Suite:</w:t>
      </w:r>
      <w:r>
        <w:t xml:space="preserve"> </w:t>
      </w:r>
      <w:r>
        <w:t xml:space="preserve">VAT filing, MOL labor compliance, and Qatari tax optimization (all services delivered by CA members registered with the Ministry of Commerce)</w:t>
      </w:r>
    </w:p>
    <w:p>
      <w:pPr>
        <w:numPr>
          <w:ilvl w:val="0"/>
          <w:numId w:val="1003"/>
        </w:numPr>
        <w:pStyle w:val="Compact"/>
      </w:pPr>
      <w:r>
        <w:rPr>
          <w:iCs/>
          <w:i/>
        </w:rPr>
        <w:t xml:space="preserve">SME Growth Package:</w:t>
      </w:r>
      <w:r>
        <w:t xml:space="preserve"> </w:t>
      </w:r>
      <w:r>
        <w:t xml:space="preserve">Integrated payroll + Zakat calculation for Qatari businesses (with Ramadan-specific financial planning)</w:t>
      </w:r>
    </w:p>
    <w:p>
      <w:pPr>
        <w:numPr>
          <w:ilvl w:val="0"/>
          <w:numId w:val="1003"/>
        </w:numPr>
        <w:pStyle w:val="Compact"/>
      </w:pPr>
      <w:r>
        <w:rPr>
          <w:iCs/>
          <w:i/>
        </w:rPr>
        <w:t xml:space="preserve">HNWI Wealth Blueprint:</w:t>
      </w:r>
      <w:r>
        <w:t xml:space="preserve"> </w:t>
      </w:r>
      <w:r>
        <w:t xml:space="preserve">Sharia-compliant investment tax structuring aligned with Qatar Central Bank guidelines</w:t>
      </w:r>
    </w:p>
    <w:bookmarkEnd w:id="24"/>
    <w:bookmarkStart w:id="25" w:name="pricing-strategy-value-based-transparent"/>
    <w:p>
      <w:pPr>
        <w:pStyle w:val="Heading3"/>
      </w:pPr>
      <w:r>
        <w:t xml:space="preserve">Pricing Strategy: Value-Based &amp; Transparent</w:t>
      </w:r>
    </w:p>
    <w:p>
      <w:pPr>
        <w:pStyle w:val="FirstParagraph"/>
      </w:pPr>
      <w:r>
        <w:t xml:space="preserve">Avoiding regional price wars, we implement a tiered model based on Qatari market standards:</w:t>
      </w:r>
      <w:r>
        <w:t xml:space="preserve"> </w:t>
      </w:r>
      <w:r>
        <w:t xml:space="preserve">• Basic Compliance: QR 1,200/month (for SMEs with ≤5 employees)</w:t>
      </w:r>
      <w:r>
        <w:t xml:space="preserve"> </w:t>
      </w:r>
      <w:r>
        <w:t xml:space="preserve">• Enterprise Suite: Fixed annual contract (QR 48,000 for multinationals)</w:t>
      </w:r>
      <w:r>
        <w:t xml:space="preserve"> </w:t>
      </w:r>
      <w:r>
        <w:t xml:space="preserve">All pricing includes free quarterly regulatory updates from our Doha-based advisory team. This contrasts sharply with competitors' hidden fees on VAT penalties.</w:t>
      </w:r>
    </w:p>
    <w:bookmarkEnd w:id="25"/>
    <w:bookmarkStart w:id="26" w:name="Xc4fc5ab830d5c58ba37aebcbfe1c42641272006"/>
    <w:p>
      <w:pPr>
        <w:pStyle w:val="Heading3"/>
      </w:pPr>
      <w:r>
        <w:t xml:space="preserve">Promotion: Qatar-Centric Community Engagement</w:t>
      </w:r>
    </w:p>
    <w:p>
      <w:pPr>
        <w:pStyle w:val="FirstParagraph"/>
      </w:pPr>
      <w:r>
        <w:t xml:space="preserve">Our promotion strategy leverages Qatar Doha's relationship-driven culture:</w:t>
      </w:r>
    </w:p>
    <w:p>
      <w:pPr>
        <w:numPr>
          <w:ilvl w:val="0"/>
          <w:numId w:val="1004"/>
        </w:numPr>
        <w:pStyle w:val="Compact"/>
      </w:pPr>
      <w:r>
        <w:rPr>
          <w:bCs/>
          <w:b/>
        </w:rPr>
        <w:t xml:space="preserve">Qatar Business Forum Sponsorship:</w:t>
      </w:r>
      <w:r>
        <w:t xml:space="preserve"> </w:t>
      </w:r>
      <w:r>
        <w:t xml:space="preserve">Exclusive sponsor of Doha Chamber of Commerce events (2024-2025), hosting "Regulatory Roundtables" with MFiC officials</w:t>
      </w:r>
    </w:p>
    <w:p>
      <w:pPr>
        <w:numPr>
          <w:ilvl w:val="0"/>
          <w:numId w:val="1004"/>
        </w:numPr>
        <w:pStyle w:val="Compact"/>
      </w:pPr>
      <w:r>
        <w:rPr>
          <w:bCs/>
          <w:b/>
        </w:rPr>
        <w:t xml:space="preserve">Digital Localization:</w:t>
      </w:r>
      <w:r>
        <w:t xml:space="preserve"> </w:t>
      </w:r>
      <w:r>
        <w:t xml:space="preserve">Arabic/English social media campaigns targeting LinkedIn groups like "Doha SME Network" with videos featuring Qatari accountant testimonials</w:t>
      </w:r>
    </w:p>
    <w:p>
      <w:pPr>
        <w:numPr>
          <w:ilvl w:val="0"/>
          <w:numId w:val="1004"/>
        </w:numPr>
        <w:pStyle w:val="Compact"/>
      </w:pPr>
      <w:r>
        <w:rPr>
          <w:bCs/>
          <w:b/>
        </w:rPr>
        <w:t xml:space="preserve">Partnership Ecosystem:</w:t>
      </w:r>
      <w:r>
        <w:t xml:space="preserve"> </w:t>
      </w:r>
      <w:r>
        <w:t xml:space="preserve">Co-branded workshops with Qatar Airways Finance, Ooredoo, and Doha Bank – positioning our accountant as a gateway to financial ecosystem partners</w:t>
      </w:r>
    </w:p>
    <w:bookmarkEnd w:id="26"/>
    <w:bookmarkStart w:id="27" w:name="Xba213e863d422dd9ee7f29d4e2df4e3dce466ed"/>
    <w:p>
      <w:pPr>
        <w:pStyle w:val="Heading3"/>
      </w:pPr>
      <w:r>
        <w:t xml:space="preserve">Place: Physical Presence in Doha's Business Hubs</w:t>
      </w:r>
    </w:p>
    <w:p>
      <w:pPr>
        <w:pStyle w:val="FirstParagraph"/>
      </w:pPr>
      <w:r>
        <w:t xml:space="preserve">We've secured offices in West Bay (Doha's financial district) and Al Waab (SME cluster), with bi-weekly pop-up advisory sessions at:</w:t>
      </w:r>
      <w:r>
        <w:t xml:space="preserve"> </w:t>
      </w:r>
      <w:r>
        <w:t xml:space="preserve">• Qatar Financial Centre (QFC)</w:t>
      </w:r>
      <w:r>
        <w:t xml:space="preserve"> </w:t>
      </w:r>
      <w:r>
        <w:t xml:space="preserve">• Lusail City Innovation Hub</w:t>
      </w:r>
      <w:r>
        <w:t xml:space="preserve"> </w:t>
      </w:r>
      <w:r>
        <w:t xml:space="preserve">• Al Thakira Business Park</w:t>
      </w:r>
    </w:p>
    <w:bookmarkEnd w:id="27"/>
    <w:bookmarkEnd w:id="28"/>
    <w:bookmarkStart w:id="29" w:name="Xd74248e65603ae658b843b335c2e25d3c222c8b"/>
    <w:p>
      <w:pPr>
        <w:pStyle w:val="Heading2"/>
      </w:pPr>
      <w:r>
        <w:t xml:space="preserve">Budget Allocation: Focused for Qatar Market</w:t>
      </w:r>
    </w:p>
    <w:p>
      <w:pPr>
        <w:pStyle w:val="FirstParagraph"/>
      </w:pPr>
      <w:r>
        <w:t xml:space="preserve">Category</w:t>
      </w:r>
    </w:p>
    <w:p>
      <w:pPr>
        <w:pStyle w:val="BodyText"/>
      </w:pPr>
      <w:r>
        <w:t xml:space="preserve">Allocation (%)</w:t>
      </w:r>
    </w:p>
    <w:p>
      <w:pPr>
        <w:pStyle w:val="BodyText"/>
      </w:pPr>
      <w:r>
        <w:t xml:space="preserve">Rationale for Qatar Doha Focus</w:t>
      </w:r>
    </w:p>
    <w:p>
      <w:pPr>
        <w:pStyle w:val="BodyText"/>
      </w:pPr>
      <w:r>
        <w:t xml:space="preserve">Local Events &amp; Sponsorships</w:t>
      </w:r>
    </w:p>
    <w:p>
      <w:pPr>
        <w:pStyle w:val="BodyText"/>
      </w:pPr>
      <w:r>
        <w:t xml:space="preserve">35%</w:t>
      </w:r>
    </w:p>
    <w:p>
      <w:pPr>
        <w:pStyle w:val="BodyText"/>
      </w:pPr>
      <w:r>
        <w:t xml:space="preserve">Critical for trust-building in Qatar's relationship-driven market</w:t>
      </w:r>
    </w:p>
    <w:p>
      <w:pPr>
        <w:pStyle w:val="BodyText"/>
      </w:pPr>
      <w:r>
        <w:t xml:space="preserve">Digital Marketing (Arabic/English)</w:t>
      </w:r>
    </w:p>
    <w:p>
      <w:pPr>
        <w:pStyle w:val="BodyText"/>
      </w:pPr>
      <w:r>
        <w:t xml:space="preserve">25%</w:t>
      </w:r>
    </w:p>
    <w:p>
      <w:pPr>
        <w:pStyle w:val="BodyText"/>
      </w:pPr>
      <w:r>
        <w:t xml:space="preserve">Targets high-mobile usage among Doha professionals</w:t>
      </w:r>
    </w:p>
    <w:p>
      <w:pPr>
        <w:pStyle w:val="BodyText"/>
      </w:pPr>
      <w:r>
        <w:t xml:space="preserve">Regulatory Partnership Development</w:t>
      </w:r>
    </w:p>
    <w:p>
      <w:pPr>
        <w:pStyle w:val="BodyText"/>
      </w:pPr>
      <w:r>
        <w:t xml:space="preserve">20%</w:t>
      </w:r>
    </w:p>
    <w:p>
      <w:pPr>
        <w:pStyle w:val="BodyText"/>
      </w:pPr>
      <w:r>
        <w:rPr>
          <w:bCs/>
          <w:b/>
        </w:rPr>
        <w:t xml:space="preserve">Maintaining Ministry of Commerce compliance status is non-negotiable in Qatar</w:t>
      </w:r>
    </w:p>
    <w:p>
      <w:pPr>
        <w:pStyle w:val="BodyText"/>
      </w:pPr>
      <w:r>
        <w:t xml:space="preserve">Content Creation (Arabic Case Studies)</w:t>
      </w:r>
    </w:p>
    <w:p>
      <w:pPr>
        <w:pStyle w:val="BodyText"/>
      </w:pPr>
      <w:r>
        <w:t xml:space="preserve">15%</w:t>
      </w:r>
    </w:p>
    <w:p>
      <w:pPr>
        <w:pStyle w:val="BodyText"/>
      </w:pPr>
      <w:r>
        <w:t xml:space="preserve">Cultural relevance for Qatari business leaders</w:t>
      </w:r>
    </w:p>
    <w:p>
      <w:pPr>
        <w:pStyle w:val="BodyText"/>
      </w:pPr>
      <w:r>
        <w:t xml:space="preserve">Evaluation &amp; Analytics</w:t>
      </w:r>
    </w:p>
    <w:p>
      <w:pPr>
        <w:pStyle w:val="BodyText"/>
      </w:pPr>
      <w:r>
        <w:t xml:space="preserve">5%</w:t>
      </w:r>
    </w:p>
    <w:p>
      <w:pPr>
        <w:pStyle w:val="BodyText"/>
      </w:pPr>
      <w:r>
        <w:t xml:space="preserve">Mandated by Qatar Data Protection Law (2023)</w:t>
      </w:r>
    </w:p>
    <w:bookmarkEnd w:id="29"/>
    <w:bookmarkStart w:id="30" w:name="X514d45cc3aa70ce3346ac0347677f84c09ba2b3"/>
    <w:p>
      <w:pPr>
        <w:pStyle w:val="Heading2"/>
      </w:pPr>
      <w:r>
        <w:t xml:space="preserve">Implementation Timeline: Qatar-Driven Phases</w:t>
      </w:r>
    </w:p>
    <w:p>
      <w:pPr>
        <w:pStyle w:val="FirstParagraph"/>
      </w:pPr>
      <w:r>
        <w:rPr>
          <w:bCs/>
          <w:b/>
        </w:rPr>
        <w:t xml:space="preserve">Months 1-3:</w:t>
      </w:r>
      <w:r>
        <w:t xml:space="preserve"> </w:t>
      </w:r>
      <w:r>
        <w:t xml:space="preserve">Establish physical presence in West Bay Doha; secure MFiC registration; launch Arabic-language regulatory webinar series.</w:t>
      </w:r>
    </w:p>
    <w:p>
      <w:pPr>
        <w:pStyle w:val="BodyText"/>
      </w:pPr>
      <w:r>
        <w:rPr>
          <w:bCs/>
          <w:b/>
        </w:rPr>
        <w:t xml:space="preserve">Months 4-8:</w:t>
      </w:r>
      <w:r>
        <w:t xml:space="preserve"> </w:t>
      </w:r>
      <w:r>
        <w:t xml:space="preserve">Execute first Doha Chamber sponsorship; onboard 50 pilot SME clients via free VAT compliance audits.</w:t>
      </w:r>
    </w:p>
    <w:p>
      <w:pPr>
        <w:pStyle w:val="BodyText"/>
      </w:pPr>
      <w:r>
        <w:rPr>
          <w:bCs/>
          <w:b/>
        </w:rPr>
        <w:t xml:space="preserve">Months 9-12:</w:t>
      </w:r>
      <w:r>
        <w:t xml:space="preserve"> </w:t>
      </w:r>
      <w:r>
        <w:t xml:space="preserve">Expand to Lusail business park; launch HNWI wealth package with Qatar Central Bank-aligned structure.</w:t>
      </w:r>
    </w:p>
    <w:p>
      <w:pPr>
        <w:pStyle w:val="BodyText"/>
      </w:pPr>
      <w:r>
        <w:rPr>
          <w:bCs/>
          <w:b/>
        </w:rPr>
        <w:t xml:space="preserve">Months 13-24:</w:t>
      </w:r>
      <w:r>
        <w:t xml:space="preserve"> </w:t>
      </w:r>
      <w:r>
        <w:t xml:space="preserve">Target 80% retention rate through quarterly "Qatar Economic Pulse" reports (e.g., impact of FIFA World Cup financial regulations).</w:t>
      </w:r>
    </w:p>
    <w:bookmarkEnd w:id="30"/>
    <w:bookmarkStart w:id="31" w:name="X160e52da0c700d61bc66ac629e6802f531cc75b"/>
    <w:p>
      <w:pPr>
        <w:pStyle w:val="Heading2"/>
      </w:pPr>
      <w:r>
        <w:t xml:space="preserve">Evaluation &amp; Control: Measuring Success in Qatar Doha</w:t>
      </w:r>
    </w:p>
    <w:p>
      <w:pPr>
        <w:pStyle w:val="FirstParagraph"/>
      </w:pPr>
      <w:r>
        <w:t xml:space="preserve">We measure success through KPIs aligned with Qatar's business priorities:</w:t>
      </w:r>
    </w:p>
    <w:p>
      <w:pPr>
        <w:numPr>
          <w:ilvl w:val="0"/>
          <w:numId w:val="1005"/>
        </w:numPr>
        <w:pStyle w:val="Compact"/>
      </w:pPr>
      <w:r>
        <w:rPr>
          <w:bCs/>
          <w:b/>
        </w:rPr>
        <w:t xml:space="preserve">Regulatory Compliance Rate:</w:t>
      </w:r>
      <w:r>
        <w:t xml:space="preserve"> </w:t>
      </w:r>
      <w:r>
        <w:t xml:space="preserve">98% target (vs. industry avg. 72%) – tracked via MFiC audit reports</w:t>
      </w:r>
    </w:p>
    <w:p>
      <w:pPr>
        <w:numPr>
          <w:ilvl w:val="0"/>
          <w:numId w:val="1005"/>
        </w:numPr>
        <w:pStyle w:val="Compact"/>
      </w:pPr>
      <w:r>
        <w:rPr>
          <w:bCs/>
          <w:b/>
        </w:rPr>
        <w:t xml:space="preserve">Doha Client Retention:</w:t>
      </w:r>
      <w:r>
        <w:t xml:space="preserve"> </w:t>
      </w:r>
      <w:r>
        <w:t xml:space="preserve">Minimum 85% YoY (exceeding Qatar's average of 65%)</w:t>
      </w:r>
    </w:p>
    <w:p>
      <w:pPr>
        <w:numPr>
          <w:ilvl w:val="0"/>
          <w:numId w:val="1005"/>
        </w:numPr>
        <w:pStyle w:val="Compact"/>
      </w:pPr>
      <w:r>
        <w:rPr>
          <w:bCs/>
          <w:b/>
        </w:rPr>
        <w:t xml:space="preserve">Local Media Sentiment:</w:t>
      </w:r>
      <w:r>
        <w:t xml:space="preserve"> </w:t>
      </w:r>
      <w:r>
        <w:t xml:space="preserve">Positive mentions in Al Jazeera Business, Qatar Times, and Doha News</w:t>
      </w:r>
    </w:p>
    <w:p>
      <w:pPr>
        <w:pStyle w:val="FirstParagraph"/>
      </w:pPr>
      <w:r>
        <w:t xml:space="preserve">All metrics are reported monthly to our Doha-based management team using Qatari business calendar dates (e.g., Ramadan financial cycles). Quarterly audits will be conducted by the Institute of Chartered Accountants in England &amp; Wales (ICAEW), ensuring international credibility within Qatar's regulatory framework.</w:t>
      </w:r>
    </w:p>
    <w:bookmarkEnd w:id="31"/>
    <w:bookmarkStart w:id="32" w:name="X6ce8cafc548d4d7d68592f60ee8bb911414f2d5"/>
    <w:p>
      <w:pPr>
        <w:pStyle w:val="Heading2"/>
      </w:pPr>
      <w:r>
        <w:t xml:space="preserve">Conclusion: The Future of Accountant Services in Qatar Doha</w:t>
      </w:r>
    </w:p>
    <w:p>
      <w:pPr>
        <w:pStyle w:val="FirstParagraph"/>
      </w:pPr>
      <w:r>
        <w:t xml:space="preserve">This Marketing Plan positions our accountant services not merely as vendors, but as indispensable strategic partners for businesses navigating Qatar Doha's evolving financial landscape. By embedding our operations within Qatari regulations, cultural expectations, and economic priorities – from MOL compliance to Ramadan tax planning – we transform traditional accounting into a value-driven growth catalyst. As Qatar accelerates toward its Vision 2030 goals, this plan ensures our accountant services become the benchmark for excellence in Doha's business community. The success metrics are explicitly tied to Qatar's national economic indicators, making every marketing dollar accountable to the country's development trajectory.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Accounting Marketing Plan for Qatar Doha</dc:title>
  <dc:creator/>
  <dc:language>en</dc:language>
  <cp:keywords/>
  <dcterms:created xsi:type="dcterms:W3CDTF">2026-07-23T01:01:30Z</dcterms:created>
  <dcterms:modified xsi:type="dcterms:W3CDTF">2026-07-23T01:01:30Z</dcterms:modified>
</cp:coreProperties>
</file>

<file path=docProps/custom.xml><?xml version="1.0" encoding="utf-8"?>
<Properties xmlns="http://schemas.openxmlformats.org/officeDocument/2006/custom-properties" xmlns:vt="http://schemas.openxmlformats.org/officeDocument/2006/docPropsVTypes"/>
</file>