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Accounting</w:t>
      </w:r>
      <w:r>
        <w:t xml:space="preserve"> </w:t>
      </w:r>
      <w:r>
        <w:t xml:space="preserve">Services</w:t>
      </w:r>
      <w:r>
        <w:t xml:space="preserve"> </w:t>
      </w:r>
      <w:r>
        <w:t xml:space="preserve">in</w:t>
      </w:r>
      <w:r>
        <w:t xml:space="preserve"> </w:t>
      </w:r>
      <w:r>
        <w:t xml:space="preserve">Russia</w:t>
      </w:r>
      <w:r>
        <w:t xml:space="preserve"> </w:t>
      </w:r>
      <w:r>
        <w:t xml:space="preserve">Moscow</w:t>
      </w:r>
    </w:p>
    <w:bookmarkStart w:id="32" w:name="Xe12af6cabc5f88dcb70419f11db625d9895c320"/>
    <w:p>
      <w:pPr>
        <w:pStyle w:val="Heading1"/>
      </w:pPr>
      <w:r>
        <w:t xml:space="preserve">Comprehensive Marketing Plan for Professional Accounting Services in Russia Moscow</w:t>
      </w:r>
    </w:p>
    <w:bookmarkStart w:id="20" w:name="executive-summary"/>
    <w:p>
      <w:pPr>
        <w:pStyle w:val="Heading2"/>
      </w:pPr>
      <w:r>
        <w:t xml:space="preserve">Executive Summary</w:t>
      </w:r>
    </w:p>
    <w:p>
      <w:pPr>
        <w:pStyle w:val="FirstParagraph"/>
      </w:pPr>
      <w:r>
        <w:t xml:space="preserve">This Marketing Plan outlines a strategic approach to establish and grow a premium accounting service provider targeting businesses across Moscow, Russia. As the financial landscape of Russia Moscow evolves with complex tax regulations and digital transformation, the demand for expert Accountant services has surged. Our specialized firm, "Moscow Financial Partners," will leverage local market insights to deliver compliance-driven accounting solutions tailored for Russian businesses operating in Moscow's dynamic economy. This plan details our market entry strategy, competitive differentiation, and growth roadmap to capture 15% market share within three years.</w:t>
      </w:r>
    </w:p>
    <w:bookmarkEnd w:id="20"/>
    <w:bookmarkStart w:id="21" w:name="X75ac6e94633e1d64ba1c4da94774c3c1b4bc891"/>
    <w:p>
      <w:pPr>
        <w:pStyle w:val="Heading2"/>
      </w:pPr>
      <w:r>
        <w:t xml:space="preserve">Situation Analysis: Russia Moscow Accounting Market</w:t>
      </w:r>
    </w:p>
    <w:p>
      <w:pPr>
        <w:pStyle w:val="FirstParagraph"/>
      </w:pPr>
      <w:r>
        <w:t xml:space="preserve">The accounting sector in Russia Moscow faces unique challenges including stringent Federal Tax Service (FTS) requirements, evolving VAT regulations, and the need for bilingual financial reporting. According to Rosstat 2023 data, over 78% of Moscow-based SMEs struggle with tax compliance due to frequent regulatory changes. Competitors primarily offer standardized services without deep local market expertise, creating an opportunity for a specialized Accountant service. Key competitors include large firms like PwC Moscow and local accounting bureaus that lack digital integration capabilities.</w:t>
      </w:r>
    </w:p>
    <w:p>
      <w:pPr>
        <w:pStyle w:val="BodyText"/>
      </w:pPr>
      <w:r>
        <w:t xml:space="preserve">Our primary target audience consists of:</w:t>
      </w:r>
    </w:p>
    <w:p>
      <w:pPr>
        <w:numPr>
          <w:ilvl w:val="0"/>
          <w:numId w:val="1001"/>
        </w:numPr>
        <w:pStyle w:val="Compact"/>
      </w:pPr>
      <w:r>
        <w:t xml:space="preserve">Foreign-owned enterprises operating in Moscow requiring Russia-compliant financial reporting</w:t>
      </w:r>
    </w:p>
    <w:p>
      <w:pPr>
        <w:numPr>
          <w:ilvl w:val="0"/>
          <w:numId w:val="1001"/>
        </w:numPr>
        <w:pStyle w:val="Compact"/>
      </w:pPr>
      <w:r>
        <w:t xml:space="preserve">Russian SMEs expanding beyond traditional sectors (e.g., tech, e-commerce) needing advanced accounting solutions</w:t>
      </w:r>
    </w:p>
    <w:p>
      <w:pPr>
        <w:numPr>
          <w:ilvl w:val="0"/>
          <w:numId w:val="1001"/>
        </w:numPr>
        <w:pStyle w:val="Compact"/>
      </w:pPr>
      <w:r>
        <w:t xml:space="preserve">Startups seeking outsourced CFO services to navigate Russian tax complexities</w:t>
      </w:r>
    </w:p>
    <w:bookmarkEnd w:id="21"/>
    <w:bookmarkStart w:id="22" w:name="Xc584a0f61ee91d0a3d81da097c190edd1f8e556"/>
    <w:p>
      <w:pPr>
        <w:pStyle w:val="Heading2"/>
      </w:pPr>
      <w:r>
        <w:t xml:space="preserve">Marketing Objectives for Russia Moscow Market</w:t>
      </w:r>
    </w:p>
    <w:p>
      <w:pPr>
        <w:pStyle w:val="FirstParagraph"/>
      </w:pPr>
      <w:r>
        <w:rPr>
          <w:bCs/>
          <w:b/>
        </w:rPr>
        <w:t xml:space="preserve">Market Penetration:</w:t>
      </w:r>
      <w:r>
        <w:t xml:space="preserve"> </w:t>
      </w:r>
      <w:r>
        <w:t xml:space="preserve">Acquire 500+ active clients across Moscow within the first 18 months.</w:t>
      </w:r>
    </w:p>
    <w:p>
      <w:pPr>
        <w:numPr>
          <w:ilvl w:val="0"/>
          <w:numId w:val="1002"/>
        </w:numPr>
        <w:pStyle w:val="Compact"/>
      </w:pPr>
      <w:r>
        <w:t xml:space="preserve">Rationale: Capitalize on the 23% annual growth rate of professional accounting services in Russia Moscow (Statista, 2023)</w:t>
      </w:r>
    </w:p>
    <w:p>
      <w:pPr>
        <w:pStyle w:val="FirstParagraph"/>
      </w:pPr>
      <w:r>
        <w:rPr>
          <w:bCs/>
          <w:b/>
        </w:rPr>
        <w:t xml:space="preserve">Differentiation:</w:t>
      </w:r>
      <w:r>
        <w:t xml:space="preserve"> </w:t>
      </w:r>
      <w:r>
        <w:t xml:space="preserve">Achieve a 95% client satisfaction rating by delivering localized compliance solutions beyond standard accounting.</w:t>
      </w:r>
    </w:p>
    <w:p>
      <w:pPr>
        <w:numPr>
          <w:ilvl w:val="0"/>
          <w:numId w:val="1003"/>
        </w:numPr>
        <w:pStyle w:val="Compact"/>
      </w:pPr>
      <w:r>
        <w:t xml:space="preserve">Rationale: Address the critical gap in understanding Russia's unique tax code (e.g., Article 247 of Tax Code)</w:t>
      </w:r>
    </w:p>
    <w:p>
      <w:pPr>
        <w:pStyle w:val="FirstParagraph"/>
      </w:pPr>
      <w:r>
        <w:rPr>
          <w:bCs/>
          <w:b/>
        </w:rPr>
        <w:t xml:space="preserve">Digital Transformation:</w:t>
      </w:r>
      <w:r>
        <w:t xml:space="preserve"> </w:t>
      </w:r>
      <w:r>
        <w:t xml:space="preserve">Implement AI-powered accounting tools compliant with Russian Federal Law No. 152-FZ for data security.</w:t>
      </w:r>
    </w:p>
    <w:bookmarkEnd w:id="22"/>
    <w:bookmarkStart w:id="27" w:name="strategic-marketing-framework"/>
    <w:p>
      <w:pPr>
        <w:pStyle w:val="Heading2"/>
      </w:pPr>
      <w:r>
        <w:t xml:space="preserve">Strategic Marketing Framework</w:t>
      </w:r>
    </w:p>
    <w:bookmarkStart w:id="23" w:name="X774bb1dc6a4ee38f89c438940c1887f1e1db386"/>
    <w:p>
      <w:pPr>
        <w:pStyle w:val="Heading3"/>
      </w:pPr>
      <w:r>
        <w:t xml:space="preserve">Product Strategy: Specialized Accountant Services for Russia Moscow</w:t>
      </w:r>
    </w:p>
    <w:p>
      <w:pPr>
        <w:pStyle w:val="FirstParagraph"/>
      </w:pPr>
      <w:r>
        <w:t xml:space="preserve">We offer three core service tiers designed specifically for the Moscow business ecosystem:</w:t>
      </w:r>
    </w:p>
    <w:p>
      <w:pPr>
        <w:numPr>
          <w:ilvl w:val="0"/>
          <w:numId w:val="1004"/>
        </w:numPr>
        <w:pStyle w:val="Compact"/>
      </w:pPr>
      <w:r>
        <w:rPr>
          <w:bCs/>
          <w:b/>
        </w:rPr>
        <w:t xml:space="preserve">BASIC COMPLIANCE (25,000 RUB/month):</w:t>
      </w:r>
      <w:r>
        <w:t xml:space="preserve"> </w:t>
      </w:r>
      <w:r>
        <w:t xml:space="preserve">FTS reporting, VAT filing, payroll processing – essential for all Russia Moscow businesses.</w:t>
      </w:r>
    </w:p>
    <w:p>
      <w:pPr>
        <w:numPr>
          <w:ilvl w:val="0"/>
          <w:numId w:val="1004"/>
        </w:numPr>
        <w:pStyle w:val="Compact"/>
      </w:pPr>
      <w:r>
        <w:rPr>
          <w:bCs/>
          <w:b/>
        </w:rPr>
        <w:t xml:space="preserve">STRATEGIC FINANCE (45,000 RUB/month):</w:t>
      </w:r>
      <w:r>
        <w:t xml:space="preserve"> </w:t>
      </w:r>
      <w:r>
        <w:t xml:space="preserve">Budget forecasting with Moscow-specific economic indicators (e.g., impact of oil prices on local businesses).</w:t>
      </w:r>
    </w:p>
    <w:p>
      <w:pPr>
        <w:numPr>
          <w:ilvl w:val="0"/>
          <w:numId w:val="1004"/>
        </w:numPr>
        <w:pStyle w:val="Compact"/>
      </w:pPr>
      <w:r>
        <w:rPr>
          <w:bCs/>
          <w:b/>
        </w:rPr>
        <w:t xml:space="preserve">CORPORATE TAX OPTIMIZATION (85,000 RUB/month):</w:t>
      </w:r>
      <w:r>
        <w:t xml:space="preserve"> </w:t>
      </w:r>
      <w:r>
        <w:t xml:space="preserve">Specialized solutions for multinational entities operating in Russia Moscow.</w:t>
      </w:r>
    </w:p>
    <w:p>
      <w:pPr>
        <w:pStyle w:val="FirstParagraph"/>
      </w:pPr>
      <w:r>
        <w:t xml:space="preserve">All services include access to our "Moscow Tax Intelligence Hub" – a proprietary platform tracking real-time regulatory changes across 12 Moscow administrative districts.</w:t>
      </w:r>
    </w:p>
    <w:bookmarkEnd w:id="23"/>
    <w:bookmarkStart w:id="24" w:name="pricing-strategy-value-based-positioning"/>
    <w:p>
      <w:pPr>
        <w:pStyle w:val="Heading3"/>
      </w:pPr>
      <w:r>
        <w:t xml:space="preserve">Pricing Strategy: Value-Based Positioning</w:t>
      </w:r>
    </w:p>
    <w:p>
      <w:pPr>
        <w:pStyle w:val="FirstParagraph"/>
      </w:pPr>
      <w:r>
        <w:t xml:space="preserve">Unlike competitors charging flat rates, we implement value-based pricing aligned with Moscow's business environment:</w:t>
      </w:r>
    </w:p>
    <w:p>
      <w:pPr>
        <w:numPr>
          <w:ilvl w:val="0"/>
          <w:numId w:val="1005"/>
        </w:numPr>
        <w:pStyle w:val="Compact"/>
      </w:pPr>
      <w:r>
        <w:t xml:space="preserve">40% discount for first-year contracts to overcome entry barriers in Russia Moscow's competitive market</w:t>
      </w:r>
    </w:p>
    <w:p>
      <w:pPr>
        <w:numPr>
          <w:ilvl w:val="0"/>
          <w:numId w:val="1005"/>
        </w:numPr>
        <w:pStyle w:val="Compact"/>
      </w:pPr>
      <w:r>
        <w:t xml:space="preserve">Premium pricing for services requiring deep knowledge of Moscow-specific tax districts (e.g., Zaryadye, Tverskoy)</w:t>
      </w:r>
    </w:p>
    <w:p>
      <w:pPr>
        <w:numPr>
          <w:ilvl w:val="0"/>
          <w:numId w:val="1005"/>
        </w:numPr>
        <w:pStyle w:val="Compact"/>
      </w:pPr>
      <w:r>
        <w:t xml:space="preserve">Free compliance workshops at Moscow Business Centers to demonstrate expertise</w:t>
      </w:r>
    </w:p>
    <w:bookmarkEnd w:id="24"/>
    <w:bookmarkStart w:id="25" w:name="X4848de0b665b2a66943a35d0ccb4cfe485bcc61"/>
    <w:p>
      <w:pPr>
        <w:pStyle w:val="Heading3"/>
      </w:pPr>
      <w:r>
        <w:t xml:space="preserve">Place &amp; Distribution: Hyper-Local Presence in Russia Moscow</w:t>
      </w:r>
    </w:p>
    <w:p>
      <w:pPr>
        <w:pStyle w:val="FirstParagraph"/>
      </w:pPr>
      <w:r>
        <w:t xml:space="preserve">To ensure seamless service delivery across Russia Moscow:</w:t>
      </w:r>
    </w:p>
    <w:p>
      <w:pPr>
        <w:numPr>
          <w:ilvl w:val="0"/>
          <w:numId w:val="1006"/>
        </w:numPr>
        <w:pStyle w:val="Compact"/>
      </w:pPr>
      <w:r>
        <w:rPr>
          <w:bCs/>
          <w:b/>
        </w:rPr>
        <w:t xml:space="preserve">Physical Hubs:</w:t>
      </w:r>
      <w:r>
        <w:t xml:space="preserve"> </w:t>
      </w:r>
      <w:r>
        <w:t xml:space="preserve">Establish offices in key business districts (Moscow City, Tverskoy, Zamoskvorechye) for face-to-face consultations.</w:t>
      </w:r>
    </w:p>
    <w:p>
      <w:pPr>
        <w:numPr>
          <w:ilvl w:val="0"/>
          <w:numId w:val="1006"/>
        </w:numPr>
        <w:pStyle w:val="Compact"/>
      </w:pPr>
      <w:r>
        <w:rPr>
          <w:bCs/>
          <w:b/>
        </w:rPr>
        <w:t xml:space="preserve">Digital Platform:</w:t>
      </w:r>
      <w:r>
        <w:t xml:space="preserve"> </w:t>
      </w:r>
      <w:r>
        <w:t xml:space="preserve">Launch a Russian-language portal with FTS-compliant document submission (integrated with "Gosuslugi" system).</w:t>
      </w:r>
    </w:p>
    <w:p>
      <w:pPr>
        <w:numPr>
          <w:ilvl w:val="0"/>
          <w:numId w:val="1006"/>
        </w:numPr>
        <w:pStyle w:val="Compact"/>
      </w:pPr>
      <w:r>
        <w:rPr>
          <w:bCs/>
          <w:b/>
        </w:rPr>
        <w:t xml:space="preserve">Strategic Partnerships:</w:t>
      </w:r>
      <w:r>
        <w:t xml:space="preserve"> </w:t>
      </w:r>
      <w:r>
        <w:t xml:space="preserve">Collaborate with Moscow Chamber of Commerce and leading business incubators (e.g., Skolkovo) for client referrals.</w:t>
      </w:r>
    </w:p>
    <w:bookmarkEnd w:id="25"/>
    <w:bookmarkStart w:id="26" w:name="X971b84d7ea648952759278ba4cec01ee023af9c"/>
    <w:p>
      <w:pPr>
        <w:pStyle w:val="Heading3"/>
      </w:pPr>
      <w:r>
        <w:t xml:space="preserve">Promotion Strategy: Localized Client Acquisition</w:t>
      </w:r>
    </w:p>
    <w:p>
      <w:pPr>
        <w:pStyle w:val="FirstParagraph"/>
      </w:pPr>
      <w:r>
        <w:t xml:space="preserve">This Marketing Plan prioritizes culturally resonant channels in Russia Moscow:</w:t>
      </w:r>
    </w:p>
    <w:p>
      <w:pPr>
        <w:numPr>
          <w:ilvl w:val="0"/>
          <w:numId w:val="1007"/>
        </w:numPr>
        <w:pStyle w:val="Compact"/>
      </w:pPr>
      <w:r>
        <w:rPr>
          <w:bCs/>
          <w:b/>
        </w:rPr>
        <w:t xml:space="preserve">Content Marketing:</w:t>
      </w:r>
      <w:r>
        <w:t xml:space="preserve"> </w:t>
      </w:r>
      <w:r>
        <w:t xml:space="preserve">Publish monthly "Moscow Tax Briefings" addressing real-time issues (e.g., "2024 Changes to Regional Tax Exemptions in Moscow").</w:t>
      </w:r>
    </w:p>
    <w:p>
      <w:pPr>
        <w:numPr>
          <w:ilvl w:val="0"/>
          <w:numId w:val="1007"/>
        </w:numPr>
        <w:pStyle w:val="Compact"/>
      </w:pPr>
      <w:r>
        <w:rPr>
          <w:bCs/>
          <w:b/>
        </w:rPr>
        <w:t xml:space="preserve">Industry Events:</w:t>
      </w:r>
      <w:r>
        <w:t xml:space="preserve"> </w:t>
      </w:r>
      <w:r>
        <w:t xml:space="preserve">Sponsor the annual Moscow Business Forum with workshops on "Avoiding Common FTS Penalties."</w:t>
      </w:r>
    </w:p>
    <w:p>
      <w:pPr>
        <w:numPr>
          <w:ilvl w:val="0"/>
          <w:numId w:val="1007"/>
        </w:numPr>
        <w:pStyle w:val="Compact"/>
      </w:pPr>
      <w:r>
        <w:rPr>
          <w:bCs/>
          <w:b/>
        </w:rPr>
        <w:t xml:space="preserve">Referral Program:</w:t>
      </w:r>
      <w:r>
        <w:t xml:space="preserve"> </w:t>
      </w:r>
      <w:r>
        <w:t xml:space="preserve">Incentivize existing clients with 10,000 RUB for successful referrals within Moscow business networks.</w:t>
      </w:r>
    </w:p>
    <w:p>
      <w:pPr>
        <w:numPr>
          <w:ilvl w:val="0"/>
          <w:numId w:val="1007"/>
        </w:numPr>
        <w:pStyle w:val="Compact"/>
      </w:pPr>
      <w:r>
        <w:rPr>
          <w:bCs/>
          <w:b/>
        </w:rPr>
        <w:t xml:space="preserve">Digital Campaigns:</w:t>
      </w:r>
      <w:r>
        <w:t xml:space="preserve"> </w:t>
      </w:r>
      <w:r>
        <w:t xml:space="preserve">Targeted LinkedIn ads focusing on Russian CFOs in Moscow using keywords like "Moscow Accountant compliance."</w:t>
      </w:r>
    </w:p>
    <w:bookmarkEnd w:id="26"/>
    <w:bookmarkEnd w:id="27"/>
    <w:bookmarkStart w:id="28" w:name="Xbd236a9c5db84eb3ae122decd7974f830e0c190"/>
    <w:p>
      <w:pPr>
        <w:pStyle w:val="Heading2"/>
      </w:pPr>
      <w:r>
        <w:t xml:space="preserve">Implementation Timeline (Russia Moscow Focus)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Actions</w:t>
            </w:r>
          </w:p>
        </w:tc>
        <w:tc>
          <w:tcPr/>
          <w:p>
            <w:pPr>
              <w:pStyle w:val="Compact"/>
              <w:jc w:val="left"/>
            </w:pPr>
            <w:r>
              <w:t xml:space="preserve">Russia Moscow Specifics</w:t>
            </w:r>
          </w:p>
        </w:tc>
      </w:tr>
      <w:tr>
        <w:tc>
          <w:tcPr/>
          <w:p>
            <w:pPr>
              <w:pStyle w:val="Compact"/>
              <w:jc w:val="left"/>
            </w:pPr>
            <w:r>
              <w:t xml:space="preserve">Q1 2024</w:t>
            </w:r>
          </w:p>
        </w:tc>
        <w:tc>
          <w:tcPr/>
          <w:p>
            <w:pPr>
              <w:pStyle w:val="Compact"/>
              <w:jc w:val="left"/>
            </w:pPr>
            <w:r>
              <w:t xml:space="preserve">Launch physical office in Moscow City; Develop FTS-compliant platform integration.</w:t>
            </w:r>
          </w:p>
        </w:tc>
        <w:tc>
          <w:tcPr/>
          <w:p>
            <w:pPr>
              <w:pStyle w:val="Compact"/>
              <w:jc w:val="left"/>
            </w:pPr>
            <w:r>
              <w:t xml:space="preserve">Partner with Moscow FTS local offices for regulatory alignment workshops.</w:t>
            </w:r>
          </w:p>
        </w:tc>
      </w:tr>
      <w:tr>
        <w:tc>
          <w:tcPr/>
          <w:p>
            <w:pPr>
              <w:pStyle w:val="Compact"/>
              <w:jc w:val="left"/>
            </w:pPr>
            <w:r>
              <w:t xml:space="preserve">Q3 2024</w:t>
            </w:r>
          </w:p>
        </w:tc>
        <w:tc>
          <w:tcPr/>
          <w:p>
            <w:pPr>
              <w:pStyle w:val="Compact"/>
              <w:jc w:val="left"/>
            </w:pPr>
            <w:r>
              <w:t xml:space="preserve">Execute referral program; Host first "Moscow Tax Optimization" seminar at Skolkovo.</w:t>
            </w:r>
          </w:p>
        </w:tc>
        <w:tc>
          <w:tcPr/>
          <w:p>
            <w:pPr>
              <w:pStyle w:val="Compact"/>
              <w:jc w:val="left"/>
            </w:pPr>
            <w:r>
              <w:t xml:space="preserve">Sponsor a conference at Moscow's Tverskoy Business Center with Russian-speaking Accountant experts.</w:t>
            </w:r>
          </w:p>
        </w:tc>
      </w:tr>
      <w:tr>
        <w:tc>
          <w:tcPr/>
          <w:p>
            <w:pPr>
              <w:pStyle w:val="Compact"/>
              <w:jc w:val="left"/>
            </w:pPr>
            <w:r>
              <w:t xml:space="preserve">Q1 2025</w:t>
            </w:r>
          </w:p>
        </w:tc>
        <w:tc>
          <w:tcPr/>
          <w:p>
            <w:pPr>
              <w:pStyle w:val="Compact"/>
              <w:jc w:val="left"/>
            </w:pPr>
            <w:r>
              <w:t xml:space="preserve">Roll out AI tax forecasting tool for Moscow SMEs using local economic data.</w:t>
            </w:r>
          </w:p>
        </w:tc>
        <w:tc>
          <w:tcPr/>
          <w:p>
            <w:pPr>
              <w:pStyle w:val="Compact"/>
              <w:jc w:val="left"/>
            </w:pPr>
            <w:r>
              <w:t xml:space="preserve">Pilot program in Zaryadye district targeting tech startups.</w:t>
            </w:r>
          </w:p>
        </w:tc>
      </w:tr>
    </w:tbl>
    <w:bookmarkEnd w:id="28"/>
    <w:bookmarkStart w:id="29" w:name="Xa7283543f489da8bbd2e509c1e9a5342bc1e477"/>
    <w:p>
      <w:pPr>
        <w:pStyle w:val="Heading2"/>
      </w:pPr>
      <w:r>
        <w:t xml:space="preserve">Budget Allocation: Russia Moscow Market Priorities</w:t>
      </w:r>
    </w:p>
    <w:p>
      <w:pPr>
        <w:pStyle w:val="FirstParagraph"/>
      </w:pPr>
      <w:r>
        <w:t xml:space="preserve">Total Marketing Budget: 4,200,000 RUB (Year 1)</w:t>
      </w:r>
    </w:p>
    <w:p>
      <w:pPr>
        <w:numPr>
          <w:ilvl w:val="0"/>
          <w:numId w:val="1008"/>
        </w:numPr>
        <w:pStyle w:val="Compact"/>
      </w:pPr>
      <w:r>
        <w:t xml:space="preserve">Content &amp; Digital Marketing (35%): Localized SEO targeting "Moscow Accountant" queries</w:t>
      </w:r>
    </w:p>
    <w:p>
      <w:pPr>
        <w:numPr>
          <w:ilvl w:val="0"/>
          <w:numId w:val="1008"/>
        </w:numPr>
        <w:pStyle w:val="Compact"/>
      </w:pPr>
      <w:r>
        <w:t xml:space="preserve">Events &amp; Partnerships (30%): Moscow Business Forum sponsorship and local chamber memberships</w:t>
      </w:r>
    </w:p>
    <w:p>
      <w:pPr>
        <w:numPr>
          <w:ilvl w:val="0"/>
          <w:numId w:val="1008"/>
        </w:numPr>
        <w:pStyle w:val="Compact"/>
      </w:pPr>
      <w:r>
        <w:t xml:space="preserve">Platform Development (25%): FTS-integrated software for Russia Moscow compliance</w:t>
      </w:r>
    </w:p>
    <w:p>
      <w:pPr>
        <w:numPr>
          <w:ilvl w:val="0"/>
          <w:numId w:val="1008"/>
        </w:numPr>
        <w:pStyle w:val="Compact"/>
      </w:pPr>
      <w:r>
        <w:t xml:space="preserve">Client Acquisition (10%): Referral program incentives in Moscow business networks</w:t>
      </w:r>
    </w:p>
    <w:bookmarkEnd w:id="29"/>
    <w:bookmarkStart w:id="30" w:name="X57fa9a758bd4e47b54fe8576f0f5ce18e9abb0e"/>
    <w:p>
      <w:pPr>
        <w:pStyle w:val="Heading2"/>
      </w:pPr>
      <w:r>
        <w:t xml:space="preserve">Evaluation Metrics for Marketing Plan Success</w:t>
      </w:r>
    </w:p>
    <w:p>
      <w:pPr>
        <w:pStyle w:val="FirstParagraph"/>
      </w:pPr>
      <w:r>
        <w:t xml:space="preserve">We measure success through metrics specific to the Russia Moscow context:</w:t>
      </w:r>
    </w:p>
    <w:p>
      <w:pPr>
        <w:numPr>
          <w:ilvl w:val="0"/>
          <w:numId w:val="1009"/>
        </w:numPr>
        <w:pStyle w:val="Compact"/>
      </w:pPr>
      <w:r>
        <w:rPr>
          <w:bCs/>
          <w:b/>
        </w:rPr>
        <w:t xml:space="preserve">Client Acquisition Cost (CAC):</w:t>
      </w:r>
      <w:r>
        <w:t xml:space="preserve"> </w:t>
      </w:r>
      <w:r>
        <w:t xml:space="preserve">Target: Below 18,000 RUB per client in Moscow market.</w:t>
      </w:r>
    </w:p>
    <w:p>
      <w:pPr>
        <w:numPr>
          <w:ilvl w:val="0"/>
          <w:numId w:val="1009"/>
        </w:numPr>
        <w:pStyle w:val="Compact"/>
      </w:pPr>
      <w:r>
        <w:rPr>
          <w:bCs/>
          <w:b/>
        </w:rPr>
        <w:t xml:space="preserve">Compliance Accuracy Rate:</w:t>
      </w:r>
      <w:r>
        <w:t xml:space="preserve"> </w:t>
      </w:r>
      <w:r>
        <w:t xml:space="preserve">Track against FTS audit results (target: 99.5% accuracy).</w:t>
      </w:r>
    </w:p>
    <w:p>
      <w:pPr>
        <w:numPr>
          <w:ilvl w:val="0"/>
          <w:numId w:val="1009"/>
        </w:numPr>
        <w:pStyle w:val="Compact"/>
      </w:pPr>
      <w:r>
        <w:rPr>
          <w:bCs/>
          <w:b/>
        </w:rPr>
        <w:t xml:space="preserve">Moscow Market Penetration:</w:t>
      </w:r>
      <w:r>
        <w:t xml:space="preserve"> </w:t>
      </w:r>
      <w:r>
        <w:t xml:space="preserve">Monitor share in target districts (e.g., Tverskoy, Krasnoselsky)</w:t>
      </w:r>
    </w:p>
    <w:p>
      <w:pPr>
        <w:pStyle w:val="FirstParagraph"/>
      </w:pPr>
      <w:r>
        <w:t xml:space="preserve">All data will be analyzed monthly using Russia-specific platforms like Yandex.Metrica and local business association reports. Quarterly reviews will adjust our Marketing Plan based on Moscow's regulatory shifts.</w:t>
      </w:r>
    </w:p>
    <w:bookmarkEnd w:id="30"/>
    <w:bookmarkStart w:id="31" w:name="X0fba8614ea0949034a230b76c438583b5fee5bf"/>
    <w:p>
      <w:pPr>
        <w:pStyle w:val="Heading2"/>
      </w:pPr>
      <w:r>
        <w:t xml:space="preserve">Conclusion: The Moscow Accountant Advantage</w:t>
      </w:r>
    </w:p>
    <w:p>
      <w:pPr>
        <w:pStyle w:val="FirstParagraph"/>
      </w:pPr>
      <w:r>
        <w:t xml:space="preserve">This Marketing Plan positions us as the definitive Partner for businesses navigating Russia Moscow's intricate accounting landscape. By combining deep knowledge of Russian tax codes with hyper-local service delivery in the capital city, we transform the Accountant from a compliance necessity into a strategic business partner. As Moscow continues its economic evolution, our firm will lead with solutions that understand not just Russian regulations, but the unique pulse of businesses operating within Russia Moscow's dynamic environment. The success of this Marketing Plan hinges on our unwavering focus on localized expertise – because in Russia Moscow, one-size-fits-all accounting fails.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Accounting Services in Russia Moscow</dc:title>
  <dc:creator/>
  <dc:language>en</dc:language>
  <cp:keywords/>
  <dcterms:created xsi:type="dcterms:W3CDTF">2026-07-23T11:50:38Z</dcterms:created>
  <dcterms:modified xsi:type="dcterms:W3CDTF">2026-07-23T11:50:38Z</dcterms:modified>
</cp:coreProperties>
</file>

<file path=docProps/custom.xml><?xml version="1.0" encoding="utf-8"?>
<Properties xmlns="http://schemas.openxmlformats.org/officeDocument/2006/custom-properties" xmlns:vt="http://schemas.openxmlformats.org/officeDocument/2006/docPropsVTypes"/>
</file>