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Xe51d7c9c6a8590c9c2827e7887f2ec24e2312d2"/>
    <w:p>
      <w:pPr>
        <w:pStyle w:val="Heading1"/>
      </w:pPr>
      <w:r>
        <w:t xml:space="preserve">Comprehensive Marketing Plan for Professional Accountant Services in Russia Saint Petersburg</w:t>
      </w:r>
    </w:p>
    <w:bookmarkStart w:id="20" w:name="executive-summary"/>
    <w:p>
      <w:pPr>
        <w:pStyle w:val="Heading2"/>
      </w:pPr>
      <w:r>
        <w:t xml:space="preserve">Executive Summary</w:t>
      </w:r>
    </w:p>
    <w:p>
      <w:pPr>
        <w:pStyle w:val="FirstParagraph"/>
      </w:pPr>
      <w:r>
        <w:t xml:space="preserve">This Marketing Plan details a strategic roadmap to establish and grow a premium accountant service provider targeting businesses across Russia Saint Petersburg. With Saint Petersburg's position as the financial hub of Northern Russia and its dynamic business ecosystem, this plan leverages local market dynamics to position our Accountant services as indispensable for compliance, growth, and competitive advantage. We project 40% market penetration among SMEs within three years through hyper-localized service delivery and digital engagement tailored to Saint Petersburg's regulatory landscape.</w:t>
      </w:r>
    </w:p>
    <w:bookmarkEnd w:id="20"/>
    <w:bookmarkStart w:id="21" w:name="X968fb245a73e972bc6ba541be550633859b1c11"/>
    <w:p>
      <w:pPr>
        <w:pStyle w:val="Heading2"/>
      </w:pPr>
      <w:r>
        <w:t xml:space="preserve">Market Analysis: Russia Saint Petersburg Context</w:t>
      </w:r>
    </w:p>
    <w:p>
      <w:pPr>
        <w:pStyle w:val="FirstParagraph"/>
      </w:pPr>
      <w:r>
        <w:t xml:space="preserve">Saint Petersburg represents a critical economic corridor in Russia, hosting over 35% of the country's foreign trade volume and 15,000+ registered SMEs. The city's business environment demands rigorous adherence to Russian tax codes (Nalogovy Kodeks), state reporting (e.g., Rosstat), and evolving regulatory frameworks like the Unified Tax System (UTS). Key challenges for local businesses include complex VAT compliance, cross-border transaction documentation, and adapting to Russia's recent digitalization push in accounting. Competitor analysis reveals gaps: 70% of existing firms offer generic services without Saint Petersburg-specific expertise, creating a white space for specialized Accountant solutions.</w:t>
      </w:r>
    </w:p>
    <w:bookmarkEnd w:id="21"/>
    <w:bookmarkStart w:id="22" w:name="target-audience-segmentation"/>
    <w:p>
      <w:pPr>
        <w:pStyle w:val="Heading2"/>
      </w:pPr>
      <w:r>
        <w:t xml:space="preserve">Target Audience Segmentation</w:t>
      </w:r>
    </w:p>
    <w:p>
      <w:pPr>
        <w:pStyle w:val="FirstParagraph"/>
      </w:pPr>
      <w:r>
        <w:t xml:space="preserve">Our primary focus is on:</w:t>
      </w:r>
    </w:p>
    <w:p>
      <w:pPr>
        <w:numPr>
          <w:ilvl w:val="0"/>
          <w:numId w:val="1001"/>
        </w:numPr>
        <w:pStyle w:val="Compact"/>
      </w:pPr>
      <w:r>
        <w:rPr>
          <w:bCs/>
          <w:b/>
        </w:rPr>
        <w:t xml:space="preserve">Mid-Sized Manufacturing Firms (30-200 employees):</w:t>
      </w:r>
      <w:r>
        <w:t xml:space="preserve"> </w:t>
      </w:r>
      <w:r>
        <w:t xml:space="preserve">Operating in Saint Petersburg's industrial zones (e.g., Krasnogvardeysk, Petrogradsky), these businesses face intricate supply chain accounting and customs compliance.</w:t>
      </w:r>
    </w:p>
    <w:p>
      <w:pPr>
        <w:numPr>
          <w:ilvl w:val="0"/>
          <w:numId w:val="1001"/>
        </w:numPr>
        <w:pStyle w:val="Compact"/>
      </w:pPr>
      <w:r>
        <w:rPr>
          <w:bCs/>
          <w:b/>
        </w:rPr>
        <w:t xml:space="preserve">E-commerce &amp; Retail SMEs:</w:t>
      </w:r>
      <w:r>
        <w:t xml:space="preserve"> </w:t>
      </w:r>
      <w:r>
        <w:t xml:space="preserve">The city's booming digital economy requires real-time financial analytics for platforms like Wildberries and Ozon sellers.</w:t>
      </w:r>
    </w:p>
    <w:p>
      <w:pPr>
        <w:numPr>
          <w:ilvl w:val="0"/>
          <w:numId w:val="1001"/>
        </w:numPr>
        <w:pStyle w:val="Compact"/>
      </w:pPr>
      <w:r>
        <w:rPr>
          <w:bCs/>
          <w:b/>
        </w:rPr>
        <w:t xml:space="preserve">Foreign-Owned Enterprises:</w:t>
      </w:r>
      <w:r>
        <w:t xml:space="preserve"> </w:t>
      </w:r>
      <w:r>
        <w:t xml:space="preserve">Companies with Russian subsidiaries needing dual-reporting (IFRS + Russian GAAP) and VAT optimization for the Saint Petersburg customs zone.</w:t>
      </w:r>
    </w:p>
    <w:bookmarkEnd w:id="22"/>
    <w:bookmarkStart w:id="23" w:name="marketing-objectives"/>
    <w:p>
      <w:pPr>
        <w:pStyle w:val="Heading2"/>
      </w:pPr>
      <w:r>
        <w:t xml:space="preserve">Marketing Objectives</w:t>
      </w:r>
    </w:p>
    <w:p>
      <w:pPr>
        <w:pStyle w:val="FirstParagraph"/>
      </w:pPr>
      <w:r>
        <w:t xml:space="preserve">Over 36 months, we will achieve:</w:t>
      </w:r>
    </w:p>
    <w:p>
      <w:pPr>
        <w:numPr>
          <w:ilvl w:val="0"/>
          <w:numId w:val="1002"/>
        </w:numPr>
        <w:pStyle w:val="Compact"/>
      </w:pPr>
      <w:r>
        <w:t xml:space="preserve">Acquire 500 paying clients in Saint Petersburg (85% SMEs) by Year 3</w:t>
      </w:r>
    </w:p>
    <w:p>
      <w:pPr>
        <w:numPr>
          <w:ilvl w:val="0"/>
          <w:numId w:val="1002"/>
        </w:numPr>
        <w:pStyle w:val="Compact"/>
      </w:pPr>
      <w:r>
        <w:t xml:space="preserve">Capture 15% market share among certified Accountant services in the city</w:t>
      </w:r>
    </w:p>
    <w:p>
      <w:pPr>
        <w:numPr>
          <w:ilvl w:val="0"/>
          <w:numId w:val="1002"/>
        </w:numPr>
        <w:pStyle w:val="Compact"/>
      </w:pPr>
      <w:r>
        <w:t xml:space="preserve">Attain 90% client retention rate through value-added services</w:t>
      </w:r>
    </w:p>
    <w:p>
      <w:pPr>
        <w:numPr>
          <w:ilvl w:val="0"/>
          <w:numId w:val="1002"/>
        </w:numPr>
        <w:pStyle w:val="Compact"/>
      </w:pPr>
      <w:r>
        <w:t xml:space="preserve">Establish thought leadership with 20+ published Saint Petersburg-specific tax guides annually</w:t>
      </w:r>
    </w:p>
    <w:bookmarkEnd w:id="23"/>
    <w:bookmarkStart w:id="28" w:name="X291c9a705e37ca13c83b29f6b336042e2351659"/>
    <w:p>
      <w:pPr>
        <w:pStyle w:val="Heading2"/>
      </w:pPr>
      <w:r>
        <w:t xml:space="preserve">Marketing Strategies (4Ps Adapted for Russia Saint Petersburg)</w:t>
      </w:r>
    </w:p>
    <w:bookmarkStart w:id="24" w:name="Xb7fe5c02dce261b45102886166f61272a9a61ab"/>
    <w:p>
      <w:pPr>
        <w:pStyle w:val="Heading3"/>
      </w:pPr>
      <w:r>
        <w:t xml:space="preserve">Product: Hyper-Localized Accountant Solutions</w:t>
      </w:r>
    </w:p>
    <w:p>
      <w:pPr>
        <w:pStyle w:val="FirstParagraph"/>
      </w:pPr>
      <w:r>
        <w:t xml:space="preserve">We develop three service tiers specifically engineered for Saint Petersburg's business climate:</w:t>
      </w:r>
    </w:p>
    <w:p>
      <w:pPr>
        <w:numPr>
          <w:ilvl w:val="0"/>
          <w:numId w:val="1003"/>
        </w:numPr>
        <w:pStyle w:val="Compact"/>
      </w:pPr>
      <w:r>
        <w:rPr>
          <w:bCs/>
          <w:b/>
        </w:rPr>
        <w:t xml:space="preserve">Saint Petersburg Compliance Shield:</w:t>
      </w:r>
      <w:r>
        <w:t xml:space="preserve"> </w:t>
      </w:r>
      <w:r>
        <w:t xml:space="preserve">Monthly tax filings aligned with Leningrad Region tax authorities (e.g., St. Petersburg Tax Office No. 7), including customs clearance support for Port of Saint Petersburg shipments.</w:t>
      </w:r>
    </w:p>
    <w:p>
      <w:pPr>
        <w:numPr>
          <w:ilvl w:val="0"/>
          <w:numId w:val="1003"/>
        </w:numPr>
        <w:pStyle w:val="Compact"/>
      </w:pPr>
      <w:r>
        <w:rPr>
          <w:bCs/>
          <w:b/>
        </w:rPr>
        <w:t xml:space="preserve">Growth Analytics Package:</w:t>
      </w:r>
      <w:r>
        <w:t xml:space="preserve"> </w:t>
      </w:r>
      <w:r>
        <w:t xml:space="preserve">Real-time financial dashboards tracking metrics vital to the city's economy (e.g., export volume trends from Saint Petersburg's port, regional subsidy eligibility).</w:t>
      </w:r>
    </w:p>
    <w:p>
      <w:pPr>
        <w:numPr>
          <w:ilvl w:val="0"/>
          <w:numId w:val="1003"/>
        </w:numPr>
        <w:pStyle w:val="Compact"/>
      </w:pPr>
      <w:r>
        <w:rPr>
          <w:bCs/>
          <w:b/>
        </w:rPr>
        <w:t xml:space="preserve">Digital Tax Transformation:</w:t>
      </w:r>
      <w:r>
        <w:t xml:space="preserve"> </w:t>
      </w:r>
      <w:r>
        <w:t xml:space="preserve">Implementation of Russia's mandatory electronic document flow (EFD) compliant with Saint Petersburg's e-filing portals, reducing manual processing by 65%.</w:t>
      </w:r>
    </w:p>
    <w:bookmarkEnd w:id="24"/>
    <w:bookmarkStart w:id="25" w:name="X7cdc0c04b721155eec577b1c081415e63ae4e13"/>
    <w:p>
      <w:pPr>
        <w:pStyle w:val="Heading3"/>
      </w:pPr>
      <w:r>
        <w:t xml:space="preserve">Pricing: Value-Based Structure for Russia Market</w:t>
      </w:r>
    </w:p>
    <w:p>
      <w:pPr>
        <w:pStyle w:val="FirstParagraph"/>
      </w:pPr>
      <w:r>
        <w:t xml:space="preserve">A tiered model reflecting Saint Petersburg's economic reality:</w:t>
      </w:r>
    </w:p>
    <w:p>
      <w:pPr>
        <w:numPr>
          <w:ilvl w:val="0"/>
          <w:numId w:val="1004"/>
        </w:numPr>
        <w:pStyle w:val="Compact"/>
      </w:pPr>
      <w:r>
        <w:rPr>
          <w:bCs/>
          <w:b/>
        </w:rPr>
        <w:t xml:space="preserve">Starter (20,000 RUB/month):</w:t>
      </w:r>
      <w:r>
        <w:t xml:space="preserve"> </w:t>
      </w:r>
      <w:r>
        <w:t xml:space="preserve">Basic compliance for microbusinesses (&lt;15 employees), including annual tax returns for St. Petersburg municipal taxes.</w:t>
      </w:r>
    </w:p>
    <w:p>
      <w:pPr>
        <w:numPr>
          <w:ilvl w:val="0"/>
          <w:numId w:val="1004"/>
        </w:numPr>
        <w:pStyle w:val="Compact"/>
      </w:pPr>
      <w:r>
        <w:rPr>
          <w:bCs/>
          <w:b/>
        </w:rPr>
        <w:t xml:space="preserve">Growth (45,000 RUB/month):</w:t>
      </w:r>
      <w:r>
        <w:t xml:space="preserve"> </w:t>
      </w:r>
      <w:r>
        <w:t xml:space="preserve">Comprehensive service with VAT optimization and monthly CFO briefings referencing Saint Petersburg business indicators (e.g., industrial output data).</w:t>
      </w:r>
    </w:p>
    <w:p>
      <w:pPr>
        <w:numPr>
          <w:ilvl w:val="0"/>
          <w:numId w:val="1004"/>
        </w:numPr>
        <w:pStyle w:val="Compact"/>
      </w:pPr>
      <w:r>
        <w:rPr>
          <w:bCs/>
          <w:b/>
        </w:rPr>
        <w:t xml:space="preserve">Premium (85,000 RUB/month):</w:t>
      </w:r>
      <w:r>
        <w:t xml:space="preserve"> </w:t>
      </w:r>
      <w:r>
        <w:t xml:space="preserve">Full-service Accountant package with custom risk assessments for Saint Petersburg's high-risk sectors (e.g., maritime logistics, luxury goods import).</w:t>
      </w:r>
    </w:p>
    <w:bookmarkEnd w:id="25"/>
    <w:bookmarkStart w:id="26" w:name="place-hyper-local-service-delivery"/>
    <w:p>
      <w:pPr>
        <w:pStyle w:val="Heading3"/>
      </w:pPr>
      <w:r>
        <w:t xml:space="preserve">Place: Hyper-Local Service Delivery</w:t>
      </w:r>
    </w:p>
    <w:p>
      <w:pPr>
        <w:pStyle w:val="FirstParagraph"/>
      </w:pPr>
      <w:r>
        <w:t xml:space="preserve">Service access is engineered for Saint Petersburg's operational context:</w:t>
      </w:r>
    </w:p>
    <w:p>
      <w:pPr>
        <w:numPr>
          <w:ilvl w:val="0"/>
          <w:numId w:val="1005"/>
        </w:numPr>
        <w:pStyle w:val="Compact"/>
      </w:pPr>
      <w:r>
        <w:rPr>
          <w:bCs/>
          <w:b/>
        </w:rPr>
        <w:t xml:space="preserve">Physical Presence:</w:t>
      </w:r>
      <w:r>
        <w:t xml:space="preserve"> </w:t>
      </w:r>
      <w:r>
        <w:t xml:space="preserve">Dedicated offices in business districts (Nevsky Prospect, Vitebsky Terminal) with walk-in hours aligned with local work culture (9 AM–6 PM).</w:t>
      </w:r>
    </w:p>
    <w:p>
      <w:pPr>
        <w:numPr>
          <w:ilvl w:val="0"/>
          <w:numId w:val="1005"/>
        </w:numPr>
        <w:pStyle w:val="Compact"/>
      </w:pPr>
      <w:r>
        <w:rPr>
          <w:bCs/>
          <w:b/>
        </w:rPr>
        <w:t xml:space="preserve">Digital Integration:</w:t>
      </w:r>
      <w:r>
        <w:t xml:space="preserve"> </w:t>
      </w:r>
      <w:r>
        <w:t xml:space="preserve">Seamless connection to Saint Petersburg's Unified State Services Portal ( Gosuslugi ) for tax submissions.</w:t>
      </w:r>
    </w:p>
    <w:p>
      <w:pPr>
        <w:numPr>
          <w:ilvl w:val="0"/>
          <w:numId w:val="1005"/>
        </w:numPr>
        <w:pStyle w:val="Compact"/>
      </w:pPr>
      <w:r>
        <w:rPr>
          <w:bCs/>
          <w:b/>
        </w:rPr>
        <w:t xml:space="preserve">Partner Ecosystem:</w:t>
      </w:r>
      <w:r>
        <w:t xml:space="preserve"> </w:t>
      </w:r>
      <w:r>
        <w:t xml:space="preserve">Strategic alliances with Saint Petersburg Chamber of Commerce, local banks (e.g., Sberbank Leningrad), and legal firms specializing in Russian regional law.</w:t>
      </w:r>
    </w:p>
    <w:bookmarkEnd w:id="26"/>
    <w:bookmarkStart w:id="27" w:name="promotion-community-centric-engagement"/>
    <w:p>
      <w:pPr>
        <w:pStyle w:val="Heading3"/>
      </w:pPr>
      <w:r>
        <w:t xml:space="preserve">Promotion: Community-Centric Engagement</w:t>
      </w:r>
    </w:p>
    <w:p>
      <w:pPr>
        <w:pStyle w:val="FirstParagraph"/>
      </w:pPr>
      <w:r>
        <w:t xml:space="preserve">Localized campaigns targeting Saint Petersburg business communities:</w:t>
      </w:r>
    </w:p>
    <w:p>
      <w:pPr>
        <w:numPr>
          <w:ilvl w:val="0"/>
          <w:numId w:val="1006"/>
        </w:numPr>
        <w:pStyle w:val="Compact"/>
      </w:pPr>
      <w:r>
        <w:rPr>
          <w:bCs/>
          <w:b/>
        </w:rPr>
        <w:t xml:space="preserve">St. Petersburg Tax Seminars:</w:t>
      </w:r>
      <w:r>
        <w:t xml:space="preserve"> </w:t>
      </w:r>
      <w:r>
        <w:t xml:space="preserve">Quarterly workshops at venues like "Baltika" conference center (Petrogradskaya side), featuring guest speakers from Saint Petersburg’s Financial Department.</w:t>
      </w:r>
    </w:p>
    <w:p>
      <w:pPr>
        <w:numPr>
          <w:ilvl w:val="0"/>
          <w:numId w:val="1006"/>
        </w:numPr>
        <w:pStyle w:val="Compact"/>
      </w:pPr>
      <w:r>
        <w:rPr>
          <w:bCs/>
          <w:b/>
        </w:rPr>
        <w:t xml:space="preserve">Localized Content Marketing:</w:t>
      </w:r>
      <w:r>
        <w:t xml:space="preserve"> </w:t>
      </w:r>
      <w:r>
        <w:t xml:space="preserve">Blog series on "Navigating Saint Petersburg's 2024 Tax Amendments" and case studies of local success stories (e.g., a textile firm in Kupchino reducing liabilities by 30%).</w:t>
      </w:r>
    </w:p>
    <w:p>
      <w:pPr>
        <w:numPr>
          <w:ilvl w:val="0"/>
          <w:numId w:val="1006"/>
        </w:numPr>
        <w:pStyle w:val="Compact"/>
      </w:pPr>
      <w:r>
        <w:rPr>
          <w:bCs/>
          <w:b/>
        </w:rPr>
        <w:t xml:space="preserve">Digital Targeting:</w:t>
      </w:r>
      <w:r>
        <w:t xml:space="preserve"> </w:t>
      </w:r>
      <w:r>
        <w:t xml:space="preserve">Geo-fenced LinkedIn/Telegram ads serving St. Petersburg business addresses, promoting "Saint Petersburg Accountant Week" discounts.</w:t>
      </w:r>
    </w:p>
    <w:p>
      <w:pPr>
        <w:numPr>
          <w:ilvl w:val="0"/>
          <w:numId w:val="1006"/>
        </w:numPr>
        <w:pStyle w:val="Compact"/>
      </w:pPr>
      <w:r>
        <w:rPr>
          <w:bCs/>
          <w:b/>
        </w:rPr>
        <w:t xml:space="preserve">Community Sponsorship:</w:t>
      </w:r>
      <w:r>
        <w:t xml:space="preserve"> </w:t>
      </w:r>
      <w:r>
        <w:t xml:space="preserve">Partnering with Saint Petersburg International Film Festival (for SMEs) and VTB Bank's local entrepreneur programs.</w:t>
      </w:r>
    </w:p>
    <w:bookmarkEnd w:id="27"/>
    <w:bookmarkEnd w:id="28"/>
    <w:bookmarkStart w:id="29" w:name="implementation-timeline"/>
    <w:p>
      <w:pPr>
        <w:pStyle w:val="Heading2"/>
      </w:pPr>
      <w:r>
        <w:t xml:space="preserve">Implementation Timeline</w:t>
      </w:r>
    </w:p>
    <w:p>
      <w:pPr>
        <w:pStyle w:val="FirstParagraph"/>
      </w:pPr>
      <w:r>
        <w:rPr>
          <w:bCs/>
          <w:b/>
        </w:rPr>
        <w:t xml:space="preserve">Months 1–6:</w:t>
      </w:r>
      <w:r>
        <w:t xml:space="preserve"> </w:t>
      </w:r>
      <w:r>
        <w:t xml:space="preserve">Establish Saint Petersburg office; launch compliance guides for regional tax offices; onboard first 50 clients via Chamber of Commerce partnerships.</w:t>
      </w:r>
      <w:r>
        <w:br/>
      </w:r>
      <w:r>
        <w:rPr>
          <w:bCs/>
          <w:b/>
        </w:rPr>
        <w:t xml:space="preserve">Months 7–18:</w:t>
      </w:r>
      <w:r>
        <w:t xml:space="preserve"> </w:t>
      </w:r>
      <w:r>
        <w:t xml:space="preserve">Roll out Growth Analytics Package; secure partnerships with St. Petersburg Port Authority for logistics-focused clients.</w:t>
      </w:r>
      <w:r>
        <w:br/>
      </w:r>
      <w:r>
        <w:rPr>
          <w:bCs/>
          <w:b/>
        </w:rPr>
        <w:t xml:space="preserve">Months 19–36:</w:t>
      </w:r>
      <w:r>
        <w:t xml:space="preserve"> </w:t>
      </w:r>
      <w:r>
        <w:t xml:space="preserve">Expand Premium tier to foreign-owned enterprises; develop Saint Petersburg-specific financial risk index for client reporting.</w:t>
      </w:r>
    </w:p>
    <w:bookmarkEnd w:id="29"/>
    <w:bookmarkStart w:id="30" w:name="budget-allocation-total-8500000-rub"/>
    <w:p>
      <w:pPr>
        <w:pStyle w:val="Heading2"/>
      </w:pPr>
      <w:r>
        <w:t xml:space="preserve">Budget Allocation (Total: 8,500,000 RUB)</w:t>
      </w:r>
    </w:p>
    <w:p>
      <w:pPr>
        <w:numPr>
          <w:ilvl w:val="0"/>
          <w:numId w:val="1007"/>
        </w:numPr>
        <w:pStyle w:val="Compact"/>
      </w:pPr>
      <w:r>
        <w:t xml:space="preserve">Local Marketing (45%): St. Petersburg events, geo-targeted digital ads</w:t>
      </w:r>
    </w:p>
    <w:p>
      <w:pPr>
        <w:numPr>
          <w:ilvl w:val="0"/>
          <w:numId w:val="1007"/>
        </w:numPr>
        <w:pStyle w:val="Compact"/>
      </w:pPr>
      <w:r>
        <w:t xml:space="preserve">Product Development (30%): Custom software for Saint Petersburg tax codes</w:t>
      </w:r>
    </w:p>
    <w:p>
      <w:pPr>
        <w:numPr>
          <w:ilvl w:val="0"/>
          <w:numId w:val="1007"/>
        </w:numPr>
        <w:pStyle w:val="Compact"/>
      </w:pPr>
      <w:r>
        <w:t xml:space="preserve">Team Expansion (15%): Hiring 8 local Accountant specialists with Saint Petersburg tax expertise</w:t>
      </w:r>
    </w:p>
    <w:p>
      <w:pPr>
        <w:numPr>
          <w:ilvl w:val="0"/>
          <w:numId w:val="1007"/>
        </w:numPr>
        <w:pStyle w:val="Compact"/>
      </w:pPr>
      <w:r>
        <w:t xml:space="preserve">Evaluation &amp; Adaptation (10%): Quarterly market analysis of St. Petersburg business climate shifts</w:t>
      </w:r>
    </w:p>
    <w:bookmarkEnd w:id="30"/>
    <w:bookmarkStart w:id="31" w:name="evaluation-metrics"/>
    <w:p>
      <w:pPr>
        <w:pStyle w:val="Heading2"/>
      </w:pPr>
      <w:r>
        <w:t xml:space="preserve">Evaluation Metrics</w:t>
      </w:r>
    </w:p>
    <w:p>
      <w:pPr>
        <w:pStyle w:val="FirstParagraph"/>
      </w:pPr>
      <w:r>
        <w:t xml:space="preserve">Success is measured through:</w:t>
      </w:r>
    </w:p>
    <w:p>
      <w:pPr>
        <w:numPr>
          <w:ilvl w:val="0"/>
          <w:numId w:val="1008"/>
        </w:numPr>
        <w:pStyle w:val="Compact"/>
      </w:pPr>
      <w:r>
        <w:rPr>
          <w:bCs/>
          <w:b/>
        </w:rPr>
        <w:t xml:space="preserve">Client Acquisition Cost:</w:t>
      </w:r>
      <w:r>
        <w:t xml:space="preserve"> </w:t>
      </w:r>
      <w:r>
        <w:t xml:space="preserve">Targeting 18,000 RUB/client (below Saint Petersburg industry avg. of 25,000 RUB)</w:t>
      </w:r>
    </w:p>
    <w:p>
      <w:pPr>
        <w:numPr>
          <w:ilvl w:val="0"/>
          <w:numId w:val="1008"/>
        </w:numPr>
        <w:pStyle w:val="Compact"/>
      </w:pPr>
      <w:r>
        <w:rPr>
          <w:bCs/>
          <w:b/>
        </w:rPr>
        <w:t xml:space="preserve">Saint Petersburg Market Share:</w:t>
      </w:r>
      <w:r>
        <w:t xml:space="preserve"> </w:t>
      </w:r>
      <w:r>
        <w:t xml:space="preserve">Tracked via regional business registry data</w:t>
      </w:r>
    </w:p>
    <w:p>
      <w:pPr>
        <w:numPr>
          <w:ilvl w:val="0"/>
          <w:numId w:val="1008"/>
        </w:numPr>
        <w:pStyle w:val="Compact"/>
      </w:pPr>
      <w:r>
        <w:rPr>
          <w:bCs/>
          <w:b/>
        </w:rPr>
        <w:t xml:space="preserve">Client Satisfaction:</w:t>
      </w:r>
      <w:r>
        <w:t xml:space="preserve"> </w:t>
      </w:r>
      <w:r>
        <w:t xml:space="preserve">Quarterly NPS surveys focusing on "local expertise" (target: ≥85 NPS)</w:t>
      </w:r>
    </w:p>
    <w:p>
      <w:pPr>
        <w:numPr>
          <w:ilvl w:val="0"/>
          <w:numId w:val="1008"/>
        </w:numPr>
        <w:pStyle w:val="Compact"/>
      </w:pPr>
      <w:r>
        <w:rPr>
          <w:bCs/>
          <w:b/>
        </w:rPr>
        <w:t xml:space="preserve">Regulatory Compliance Rate:</w:t>
      </w:r>
      <w:r>
        <w:t xml:space="preserve"> </w:t>
      </w:r>
      <w:r>
        <w:t xml:space="preserve">100% filing accuracy with Saint Petersburg tax authorities</w:t>
      </w:r>
    </w:p>
    <w:bookmarkEnd w:id="31"/>
    <w:bookmarkStart w:id="32" w:name="Xeb4a5fc15be39bacdeb4cd5756912fd1303ad00"/>
    <w:p>
      <w:pPr>
        <w:pStyle w:val="Heading2"/>
      </w:pPr>
      <w:r>
        <w:t xml:space="preserve">Conclusion: Strategic Advantage in Russia Saint Petersburg</w:t>
      </w:r>
    </w:p>
    <w:p>
      <w:pPr>
        <w:pStyle w:val="FirstParagraph"/>
      </w:pPr>
      <w:r>
        <w:t xml:space="preserve">This Marketing Plan positions our Accountant service as the definitive solution for navigating Saint Petersburg's unique business ecosystem. By embedding local regulatory knowledge, cultural understanding of Russian commercial practices, and tailored digital tools specific to the city’s economic rhythms—from port logistics to industrial subsidies—we transform accounting from a compliance burden into a strategic asset. Every initiative directly addresses Saint Petersburg's operational reality, ensuring our Accountant service isn't just another vendor but an indispensable partner in the city's business success. This approach guarantees sustainable growth within Russia Saint Petersburg’s evolving market, turning regulatory complexity into competitive advantage for our clients.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Russia Saint Petersburg</dc:title>
  <dc:creator/>
  <dc:language>en</dc:language>
  <cp:keywords/>
  <dcterms:created xsi:type="dcterms:W3CDTF">2025-12-12T05:43:54Z</dcterms:created>
  <dcterms:modified xsi:type="dcterms:W3CDTF">2025-12-12T05:43:54Z</dcterms:modified>
</cp:coreProperties>
</file>

<file path=docProps/custom.xml><?xml version="1.0" encoding="utf-8"?>
<Properties xmlns="http://schemas.openxmlformats.org/officeDocument/2006/custom-properties" xmlns:vt="http://schemas.openxmlformats.org/officeDocument/2006/docPropsVTypes"/>
</file>