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32" w:name="X4e12cef8d849024120edbd5c95f792201658a2a"/>
    <w:p>
      <w:pPr>
        <w:pStyle w:val="Heading1"/>
      </w:pPr>
      <w:r>
        <w:t xml:space="preserve">Marketing Plan: Premium Accountant Services Tailored for Dubai, United Arab Emirates Business Ecosystem</w:t>
      </w:r>
    </w:p>
    <w:bookmarkStart w:id="20" w:name="executive-summary"/>
    <w:p>
      <w:pPr>
        <w:pStyle w:val="Heading2"/>
      </w:pPr>
      <w:r>
        <w:t xml:space="preserve">Executive Summary</w:t>
      </w:r>
    </w:p>
    <w:p>
      <w:pPr>
        <w:pStyle w:val="FirstParagraph"/>
      </w:pPr>
      <w:r>
        <w:t xml:space="preserve">This comprehensive Marketing Plan outlines a strategic roadmap for establishing and scaling an accounting service provider within the dynamic business landscape of Dubai, United Arab Emirates. It targets the critical need for specialized financial expertise among businesses navigating UAE’s evolving regulatory environment, including Federal Tax Authority (FTA) compliance, Dubai Department of Economic Development (DED) requirements, and free zone regulations. As a dedicated Accountant serving Dubai’s diverse market—spanning startups, SMEs, multinational corporations, and entrepreneurs—the plan leverages local market intelligence to position our firm as the trusted financial partner for growth in the United Arab Emirates.</w:t>
      </w:r>
    </w:p>
    <w:bookmarkEnd w:id="20"/>
    <w:bookmarkStart w:id="21" w:name="X3e3a5d44701b50f422825637fb932bf113281b7"/>
    <w:p>
      <w:pPr>
        <w:pStyle w:val="Heading2"/>
      </w:pPr>
      <w:r>
        <w:t xml:space="preserve">Market Analysis: Dubai's Accounting Imperatives</w:t>
      </w:r>
    </w:p>
    <w:p>
      <w:pPr>
        <w:pStyle w:val="FirstParagraph"/>
      </w:pPr>
      <w:r>
        <w:t xml:space="preserve">Dubai’s economy is a global hub for trade, tourism, and finance, driving exponential demand for precise accounting services. With over 150 free zones (e.g., DIFC, DMCC) hosting 80% of UAE business activity and stringent regulations like VAT implementation (5%), annual commercial license renewals under DED, and mandatory financial disclosures for foreign-owned entities, businesses face significant compliance challenges. A recent Dubai Chamber of Commerce survey revealed 68% of SMEs struggle with tax filing accuracy, while multinational corporations prioritize seamless integration with UAE’s double-taxation agreements. This gap creates an urgent opportunity for a specialized Accountant who understands Dubai’s unique ecosystem, not just generic accounting practices.</w:t>
      </w:r>
    </w:p>
    <w:bookmarkEnd w:id="21"/>
    <w:bookmarkStart w:id="22" w:name="target-audience-segmentation"/>
    <w:p>
      <w:pPr>
        <w:pStyle w:val="Heading2"/>
      </w:pPr>
      <w:r>
        <w:t xml:space="preserve">Target Audience Segmentation</w:t>
      </w:r>
    </w:p>
    <w:p>
      <w:pPr>
        <w:pStyle w:val="FirstParagraph"/>
      </w:pPr>
      <w:r>
        <w:t xml:space="preserve">This Marketing Plan focuses on three high-potential segments within Dubai:</w:t>
      </w:r>
    </w:p>
    <w:p>
      <w:pPr>
        <w:numPr>
          <w:ilvl w:val="0"/>
          <w:numId w:val="1001"/>
        </w:numPr>
        <w:pStyle w:val="Compact"/>
      </w:pPr>
      <w:r>
        <w:rPr>
          <w:bCs/>
          <w:b/>
        </w:rPr>
        <w:t xml:space="preserve">Startups &amp; SMEs in Dubai Free Zones (e.g., DMCC, RAK ICC):</w:t>
      </w:r>
      <w:r>
        <w:t xml:space="preserve"> </w:t>
      </w:r>
      <w:r>
        <w:t xml:space="preserve">Require cost-effective, compliant accounting for licensing, VAT returns, and year-end reporting to avoid penalties.</w:t>
      </w:r>
    </w:p>
    <w:p>
      <w:pPr>
        <w:numPr>
          <w:ilvl w:val="0"/>
          <w:numId w:val="1001"/>
        </w:numPr>
        <w:pStyle w:val="Compact"/>
      </w:pPr>
      <w:r>
        <w:rPr>
          <w:bCs/>
          <w:b/>
        </w:rPr>
        <w:t xml:space="preserve">Expatriate-Owned Businesses:</w:t>
      </w:r>
      <w:r>
        <w:t xml:space="preserve"> </w:t>
      </w:r>
      <w:r>
        <w:t xml:space="preserve">Often lack local financial expertise; need bilingual support (Arabic/English) for DED filings and UAE tax implications on foreign income.</w:t>
      </w:r>
    </w:p>
    <w:p>
      <w:pPr>
        <w:numPr>
          <w:ilvl w:val="0"/>
          <w:numId w:val="1001"/>
        </w:numPr>
        <w:pStyle w:val="Compact"/>
      </w:pPr>
      <w:r>
        <w:rPr>
          <w:bCs/>
          <w:b/>
        </w:rPr>
        <w:t xml:space="preserve">Multinational Corporations Expanding into Dubai:</w:t>
      </w:r>
      <w:r>
        <w:t xml:space="preserve"> </w:t>
      </w:r>
      <w:r>
        <w:t xml:space="preserve">Demand Accountant services aligned with international standards (IFRS) and UAE regulatory frameworks like ADGM’s Financial Services Authority rules.</w:t>
      </w:r>
    </w:p>
    <w:bookmarkEnd w:id="22"/>
    <w:bookmarkStart w:id="23" w:name="X3c014569f385e14dcdd2fd3a0bca4b6ace5e141"/>
    <w:p>
      <w:pPr>
        <w:pStyle w:val="Heading2"/>
      </w:pPr>
      <w:r>
        <w:t xml:space="preserve">Service Offerings Aligned with Dubai Requirements</w:t>
      </w:r>
    </w:p>
    <w:p>
      <w:pPr>
        <w:pStyle w:val="FirstParagraph"/>
      </w:pPr>
      <w:r>
        <w:t xml:space="preserve">To dominate the Dubai market, our Accountant services are designed around UAE-specific needs:</w:t>
      </w:r>
    </w:p>
    <w:p>
      <w:pPr>
        <w:numPr>
          <w:ilvl w:val="0"/>
          <w:numId w:val="1002"/>
        </w:numPr>
        <w:pStyle w:val="Compact"/>
      </w:pPr>
      <w:r>
        <w:rPr>
          <w:bCs/>
          <w:b/>
        </w:rPr>
        <w:t xml:space="preserve">VAT Registration &amp; Compliance (UAE FTA):</w:t>
      </w:r>
      <w:r>
        <w:t xml:space="preserve"> </w:t>
      </w:r>
      <w:r>
        <w:t xml:space="preserve">End-to-end support for VAT submissions, audits, and dispute resolution under UAE’s tax authority.</w:t>
      </w:r>
    </w:p>
    <w:p>
      <w:pPr>
        <w:numPr>
          <w:ilvl w:val="0"/>
          <w:numId w:val="1002"/>
        </w:numPr>
        <w:pStyle w:val="Compact"/>
      </w:pPr>
      <w:r>
        <w:rPr>
          <w:bCs/>
          <w:b/>
        </w:rPr>
        <w:t xml:space="preserve">DED License Renewal &amp; Corporate Compliance:</w:t>
      </w:r>
      <w:r>
        <w:t xml:space="preserve"> </w:t>
      </w:r>
      <w:r>
        <w:t xml:space="preserve">Expert guidance on Dubai Department of Economic Development licensing, including annual return filings and trade license renewals.</w:t>
      </w:r>
    </w:p>
    <w:p>
      <w:pPr>
        <w:numPr>
          <w:ilvl w:val="0"/>
          <w:numId w:val="1002"/>
        </w:numPr>
        <w:pStyle w:val="Compact"/>
      </w:pPr>
      <w:r>
        <w:rPr>
          <w:bCs/>
          <w:b/>
        </w:rPr>
        <w:t xml:space="preserve">Free Zone Accountancy (DMCC/DIFC):</w:t>
      </w:r>
      <w:r>
        <w:t xml:space="preserve"> </w:t>
      </w:r>
      <w:r>
        <w:t xml:space="preserve">Specialized services for entities in Dubai’s key free zones, including statutory audits and shareholder reporting.</w:t>
      </w:r>
    </w:p>
    <w:p>
      <w:pPr>
        <w:numPr>
          <w:ilvl w:val="0"/>
          <w:numId w:val="1002"/>
        </w:numPr>
        <w:pStyle w:val="Compact"/>
      </w:pPr>
      <w:r>
        <w:rPr>
          <w:bCs/>
          <w:b/>
        </w:rPr>
        <w:t xml:space="preserve">Bilingual Financial Reporting:</w:t>
      </w:r>
      <w:r>
        <w:t xml:space="preserve"> </w:t>
      </w:r>
      <w:r>
        <w:t xml:space="preserve">Arabic-English financial statements meeting UAE Central Bank and DED standards.</w:t>
      </w:r>
    </w:p>
    <w:bookmarkEnd w:id="23"/>
    <w:bookmarkStart w:id="28" w:name="dubai-centric-marketing-strategy"/>
    <w:p>
      <w:pPr>
        <w:pStyle w:val="Heading2"/>
      </w:pPr>
      <w:r>
        <w:t xml:space="preserve">Dubai-Centric Marketing Strategy</w:t>
      </w:r>
    </w:p>
    <w:p>
      <w:pPr>
        <w:pStyle w:val="FirstParagraph"/>
      </w:pPr>
      <w:r>
        <w:t xml:space="preserve">This Marketing Plan prioritizes digital channels with hyper-local relevance to reach businesses in Dubai:</w:t>
      </w:r>
    </w:p>
    <w:bookmarkStart w:id="24" w:name="seo-content-marketing-for-uae-visibility"/>
    <w:p>
      <w:pPr>
        <w:pStyle w:val="Heading3"/>
      </w:pPr>
      <w:r>
        <w:t xml:space="preserve">1. SEO &amp; Content Marketing for UAE Visibility</w:t>
      </w:r>
    </w:p>
    <w:p>
      <w:pPr>
        <w:pStyle w:val="FirstParagraph"/>
      </w:pPr>
      <w:r>
        <w:t xml:space="preserve">Optimize all web content for keywords like “Dubai accountant,” “VAT consultant Dubai,” and “DED compliance services United Arab Emirates.” Create location-specific blog content: *“How to Navigate 2024 VAT Deadlines in Dubai”* or *“Why DMCC License Renewal Fails (And How to Avoid It).”* Partner with Dubai-based business platforms (e.g., Bayt, LinkedIn UAE) for syndicated articles.</w:t>
      </w:r>
    </w:p>
    <w:bookmarkEnd w:id="24"/>
    <w:bookmarkStart w:id="25" w:name="X1caef645ed40b59b455e696992ce7c3f9b98c24"/>
    <w:p>
      <w:pPr>
        <w:pStyle w:val="Heading3"/>
      </w:pPr>
      <w:r>
        <w:t xml:space="preserve">2. Strategic Partnerships in Dubai’s Business Ecosystem</w:t>
      </w:r>
    </w:p>
    <w:p>
      <w:pPr>
        <w:pStyle w:val="FirstParagraph"/>
      </w:pPr>
      <w:r>
        <w:t xml:space="preserve">Collaborate with Dubai Chamber of Commerce, DIFC Authority, and free zone operators for co-hosted workshops on “UAE Financial Compliance 101.” Offer referral fees to Dubai-based legal firms and business setup consultants (e.g., Al Marai Setup) to embed our Accountant services into client onboarding processes.</w:t>
      </w:r>
    </w:p>
    <w:bookmarkEnd w:id="25"/>
    <w:bookmarkStart w:id="26" w:name="Xb557a86f1b64e5fcad0846cbdbab4bbfd36a6d8"/>
    <w:p>
      <w:pPr>
        <w:pStyle w:val="Heading3"/>
      </w:pPr>
      <w:r>
        <w:t xml:space="preserve">3. Digital Advertising Targeting Dubai Businesses</w:t>
      </w:r>
    </w:p>
    <w:p>
      <w:pPr>
        <w:pStyle w:val="FirstParagraph"/>
      </w:pPr>
      <w:r>
        <w:t xml:space="preserve">Run LinkedIn campaigns targeting job titles like “Business Owner,” “Finance Manager” in Dubai, UAE with ad copy: *“Stress-Free Accounting for Your Dubai Business—Compliant with FTA &amp; DED.”* Use geo-targeting to focus exclusively on Dubai and adjacent emirates (e.g., Abu Dhabi, Sharjah) where businesses operate under UAE federal rules.</w:t>
      </w:r>
    </w:p>
    <w:bookmarkEnd w:id="26"/>
    <w:bookmarkStart w:id="27" w:name="community-engagement-in-dubai"/>
    <w:p>
      <w:pPr>
        <w:pStyle w:val="Heading3"/>
      </w:pPr>
      <w:r>
        <w:t xml:space="preserve">4. Community Engagement in Dubai</w:t>
      </w:r>
    </w:p>
    <w:p>
      <w:pPr>
        <w:pStyle w:val="FirstParagraph"/>
      </w:pPr>
      <w:r>
        <w:t xml:space="preserve">Sponsor events at Dubai International Financial Centre (DIFC) or local startup hubs like Wamda. Host free monthly webinars: *“2024 UAE Tax Changes for Expats in Dubai”* with Arabic subtitles to build trust within the expat community.</w:t>
      </w:r>
    </w:p>
    <w:bookmarkEnd w:id="27"/>
    <w:bookmarkEnd w:id="28"/>
    <w:bookmarkStart w:id="29" w:name="X86922add4257c597f5b54e152b2f0ee9c533297"/>
    <w:p>
      <w:pPr>
        <w:pStyle w:val="Heading2"/>
      </w:pPr>
      <w:r>
        <w:t xml:space="preserve">Competitive Differentiation in the Dubai Market</w:t>
      </w:r>
    </w:p>
    <w:p>
      <w:pPr>
        <w:pStyle w:val="FirstParagraph"/>
      </w:pPr>
      <w:r>
        <w:t xml:space="preserve">Unlike generic accounting firms, this Marketing Plan positions our Accountant as a Dubai-specific authority through:</w:t>
      </w:r>
    </w:p>
    <w:p>
      <w:pPr>
        <w:numPr>
          <w:ilvl w:val="0"/>
          <w:numId w:val="1003"/>
        </w:numPr>
        <w:pStyle w:val="Compact"/>
      </w:pPr>
      <w:r>
        <w:rPr>
          <w:bCs/>
          <w:b/>
        </w:rPr>
        <w:t xml:space="preserve">Regulatory Agility:</w:t>
      </w:r>
      <w:r>
        <w:t xml:space="preserve"> </w:t>
      </w:r>
      <w:r>
        <w:t xml:space="preserve">Real-time updates on UAE FTA circulars and DED policy shifts.</w:t>
      </w:r>
    </w:p>
    <w:p>
      <w:pPr>
        <w:numPr>
          <w:ilvl w:val="0"/>
          <w:numId w:val="1003"/>
        </w:numPr>
        <w:pStyle w:val="Compact"/>
      </w:pPr>
      <w:r>
        <w:rPr>
          <w:bCs/>
          <w:b/>
        </w:rPr>
        <w:t xml:space="preserve">Cultural Fluency:</w:t>
      </w:r>
      <w:r>
        <w:t xml:space="preserve"> </w:t>
      </w:r>
      <w:r>
        <w:t xml:space="preserve">Team members with Arabic language skills and understanding of Emirati business etiquette.</w:t>
      </w:r>
    </w:p>
    <w:p>
      <w:pPr>
        <w:numPr>
          <w:ilvl w:val="0"/>
          <w:numId w:val="1003"/>
        </w:numPr>
        <w:pStyle w:val="Compact"/>
      </w:pPr>
      <w:r>
        <w:rPr>
          <w:bCs/>
          <w:b/>
        </w:rPr>
        <w:t xml:space="preserve">Dubai-First Case Studies:</w:t>
      </w:r>
      <w:r>
        <w:t xml:space="preserve"> </w:t>
      </w:r>
      <w:r>
        <w:t xml:space="preserve">Showcasing results for businesses in Dubai (e.g., “Reduced DED Penalty Risks by 90% for a Dubai-Based E-commerce Startup”).</w:t>
      </w:r>
    </w:p>
    <w:bookmarkEnd w:id="29"/>
    <w:bookmarkStart w:id="30" w:name="measurement-kpis-for-dubai-operations"/>
    <w:p>
      <w:pPr>
        <w:pStyle w:val="Heading2"/>
      </w:pPr>
      <w:r>
        <w:t xml:space="preserve">Measurement &amp; KPIs for Dubai Operations</w:t>
      </w:r>
    </w:p>
    <w:p>
      <w:pPr>
        <w:pStyle w:val="FirstParagraph"/>
      </w:pPr>
      <w:r>
        <w:t xml:space="preserve">This Marketing Plan tracks success using UAE-relevant metrics:</w:t>
      </w:r>
    </w:p>
    <w:p>
      <w:pPr>
        <w:numPr>
          <w:ilvl w:val="0"/>
          <w:numId w:val="1004"/>
        </w:numPr>
        <w:pStyle w:val="Compact"/>
      </w:pPr>
      <w:r>
        <w:rPr>
          <w:bCs/>
          <w:b/>
        </w:rPr>
        <w:t xml:space="preserve">Lead Quality:</w:t>
      </w:r>
      <w:r>
        <w:t xml:space="preserve"> </w:t>
      </w:r>
      <w:r>
        <w:t xml:space="preserve">% of inquiries from Dubai businesses (target: 75%+).</w:t>
      </w:r>
    </w:p>
    <w:p>
      <w:pPr>
        <w:numPr>
          <w:ilvl w:val="0"/>
          <w:numId w:val="1004"/>
        </w:numPr>
        <w:pStyle w:val="Compact"/>
      </w:pPr>
      <w:r>
        <w:rPr>
          <w:bCs/>
          <w:b/>
        </w:rPr>
        <w:t xml:space="preserve">Compliance Success Rate:</w:t>
      </w:r>
      <w:r>
        <w:t xml:space="preserve"> </w:t>
      </w:r>
      <w:r>
        <w:t xml:space="preserve">95%+ accuracy in FTA/Dubai DED filings.</w:t>
      </w:r>
    </w:p>
    <w:p>
      <w:pPr>
        <w:numPr>
          <w:ilvl w:val="0"/>
          <w:numId w:val="1004"/>
        </w:numPr>
        <w:pStyle w:val="Compact"/>
      </w:pPr>
      <w:r>
        <w:rPr>
          <w:bCs/>
          <w:b/>
        </w:rPr>
        <w:t xml:space="preserve">Mindshare Growth:</w:t>
      </w:r>
      <w:r>
        <w:t xml:space="preserve"> </w:t>
      </w:r>
      <w:r>
        <w:t xml:space="preserve">Top-3 ranking for “accountant services Dubai” on Google (measured quarterly).</w:t>
      </w:r>
    </w:p>
    <w:bookmarkEnd w:id="30"/>
    <w:bookmarkStart w:id="31" w:name="conclusion-the-dubai-advantage"/>
    <w:p>
      <w:pPr>
        <w:pStyle w:val="Heading2"/>
      </w:pPr>
      <w:r>
        <w:t xml:space="preserve">Conclusion: The Dubai Advantage</w:t>
      </w:r>
    </w:p>
    <w:p>
      <w:pPr>
        <w:pStyle w:val="FirstParagraph"/>
      </w:pPr>
      <w:r>
        <w:t xml:space="preserve">This Marketing Plan ensures our Accountant service delivers unmatched value within the United Arab Emirates, specifically tailored for Dubai’s high-growth, regulation-driven market. By embedding local compliance expertise—UAE VAT laws, DED protocols, and free zone nuances—into every marketing touchpoint and service delivery, we position ourselves as the indispensable financial partner for businesses seeking sustainable success in Dubai. The plan is not merely about accounting; it’s a strategic investment in Dubai’s economic future, where precision compliance directly fuels business growth. As UAE regulations evolve, our Accountant will remain the trusted guide for navigating them—a critical differentiator in the competitive landscape of Dubai.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Dubai, United Arab Emirates</dc:title>
  <dc:creator/>
  <dc:language>en</dc:language>
  <cp:keywords/>
  <dcterms:created xsi:type="dcterms:W3CDTF">2026-07-23T19:51:57Z</dcterms:created>
  <dcterms:modified xsi:type="dcterms:W3CDTF">2026-07-23T19:51:57Z</dcterms:modified>
</cp:coreProperties>
</file>

<file path=docProps/custom.xml><?xml version="1.0" encoding="utf-8"?>
<Properties xmlns="http://schemas.openxmlformats.org/officeDocument/2006/custom-properties" xmlns:vt="http://schemas.openxmlformats.org/officeDocument/2006/docPropsVTypes"/>
</file>