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Saudi</w:t>
      </w:r>
      <w:r>
        <w:t xml:space="preserve"> </w:t>
      </w:r>
      <w:r>
        <w:t xml:space="preserve">Arabia</w:t>
      </w:r>
      <w:r>
        <w:t xml:space="preserve"> </w:t>
      </w:r>
      <w:r>
        <w:t xml:space="preserve">Jeddah</w:t>
      </w:r>
    </w:p>
    <w:bookmarkStart w:id="32" w:name="Xa95ac8cf8e9675e22e1daafd33a305268e86e01"/>
    <w:p>
      <w:pPr>
        <w:pStyle w:val="Heading1"/>
      </w:pPr>
      <w:r>
        <w:t xml:space="preserve">Marketing Plan: Attracting Top Aerospace Engineers to Jeddah, Saudi Arabia</w:t>
      </w:r>
    </w:p>
    <w:bookmarkStart w:id="20" w:name="executive-summary"/>
    <w:p>
      <w:pPr>
        <w:pStyle w:val="Heading2"/>
      </w:pPr>
      <w:r>
        <w:t xml:space="preserve">Executive Summary</w:t>
      </w:r>
    </w:p>
    <w:p>
      <w:pPr>
        <w:pStyle w:val="FirstParagraph"/>
      </w:pPr>
      <w:r>
        <w:t xml:space="preserve">This comprehensive Marketing Plan outlines a strategic approach to position Jeddah as the premier destination for world-class Aerospace Engineers within Saudi Arabia. Aligned with Vision 2030's economic diversification goals, this initiative targets global talent acquisition to accelerate the Kingdom's aerospace sector growth. The plan focuses on creating a compelling employer brand that highlights Jeddah's unique advantages—strategic location, modern infrastructure, cultural richness, and career advancement opportunities—to attract 50+ qualified Aerospace Engineers within the next 18 months. This Marketing Plan serves as the blueprint for transforming Saudi Arabia Jeddah into a recognized hub for aerospace innovation.</w:t>
      </w:r>
    </w:p>
    <w:bookmarkEnd w:id="20"/>
    <w:bookmarkStart w:id="21" w:name="X8369e97ca244b9ae3c6fc0812b418150d85acb1"/>
    <w:p>
      <w:pPr>
        <w:pStyle w:val="Heading2"/>
      </w:pPr>
      <w:r>
        <w:t xml:space="preserve">Market Analysis: The Saudi Aerospace Landscape</w:t>
      </w:r>
    </w:p>
    <w:p>
      <w:pPr>
        <w:pStyle w:val="FirstParagraph"/>
      </w:pPr>
      <w:r>
        <w:t xml:space="preserve">Saudi Arabia's aerospace industry is undergoing transformative growth, driven by $100+ billion in Vision 2030 investments. The National Aviation Strategy aims to boost the sector's contribution to GDP from 1.5% to 4.7% by 2030, creating unprecedented demand for specialized talent. Jeddah, as a major economic and transportation hub with King Abdulaziz International Airport (JED) handling over 25 million passengers annually, offers unparalleled infrastructure for aerospace operations. Current market gaps include a shortage of 12,000+ skilled aerospace professionals nationally—making Jeddah the ideal launchpad for talent acquisition. Competitors like Riyadh and Dammam are actively recruiting, but Jeddah's coastal location, lower cost of living compared to Riyadh, and cultural accessibility provide distinct advantages for international engineers.</w:t>
      </w:r>
    </w:p>
    <w:bookmarkEnd w:id="21"/>
    <w:bookmarkStart w:id="22" w:name="target-audience-segmentation"/>
    <w:p>
      <w:pPr>
        <w:pStyle w:val="Heading2"/>
      </w:pPr>
      <w:r>
        <w:t xml:space="preserve">Target Audience Segmentation</w:t>
      </w:r>
    </w:p>
    <w:p>
      <w:pPr>
        <w:pStyle w:val="FirstParagraph"/>
      </w:pPr>
      <w:r>
        <w:t xml:space="preserve">We focus on three primary segments:</w:t>
      </w:r>
    </w:p>
    <w:p>
      <w:pPr>
        <w:pStyle w:val="BodyText"/>
      </w:pPr>
      <w:r>
        <w:rPr>
          <w:bCs/>
          <w:b/>
        </w:rPr>
        <w:t xml:space="preserve">Senior Aerospace Engineers (10+ years experience):</w:t>
      </w:r>
      <w:r>
        <w:t xml:space="preserve"> </w:t>
      </w:r>
      <w:r>
        <w:t xml:space="preserve">Targeting experts in aircraft systems, propulsion, and avionics who seek leadership roles with strategic impact in emerging markets. Key motivators: career advancement, research opportunities at King Abdullah University of Science and Technology (KAUST), and competitive compensation packages.</w:t>
      </w:r>
    </w:p>
    <w:p>
      <w:pPr>
        <w:pStyle w:val="BodyText"/>
      </w:pPr>
      <w:r>
        <w:rPr>
          <w:bCs/>
          <w:b/>
        </w:rPr>
        <w:t xml:space="preserve">Mid-Level Engineers (5-10 years experience):</w:t>
      </w:r>
      <w:r>
        <w:t xml:space="preserve"> </w:t>
      </w:r>
      <w:r>
        <w:t xml:space="preserve">Focused on professionals specializing in aerospace manufacturing, maintenance, and digital transformation. Priorities include family-friendly environments, English-speaking workplaces, and Saudi Arabia Jeddah's proximity to international hubs.</w:t>
      </w:r>
    </w:p>
    <w:p>
      <w:pPr>
        <w:numPr>
          <w:ilvl w:val="0"/>
          <w:numId w:val="1001"/>
        </w:numPr>
        <w:pStyle w:val="Compact"/>
      </w:pPr>
      <w:r>
        <w:rPr>
          <w:iCs/>
          <w:i/>
        </w:rPr>
        <w:t xml:space="preserve">Key Insight:</w:t>
      </w:r>
      <w:r>
        <w:t xml:space="preserve"> </w:t>
      </w:r>
      <w:r>
        <w:t xml:space="preserve">78% of engineers surveyed by MHR Global prefer locations offering cultural immersion with modern amenities—a perfect match for Jeddah's blend of historic charm and cutting-edge facilities.</w:t>
      </w:r>
    </w:p>
    <w:bookmarkEnd w:id="22"/>
    <w:bookmarkStart w:id="23" w:name="marketing-objectives"/>
    <w:p>
      <w:pPr>
        <w:pStyle w:val="Heading2"/>
      </w:pPr>
      <w:r>
        <w:t xml:space="preserve">Marketing Objectives</w:t>
      </w:r>
    </w:p>
    <w:p>
      <w:pPr>
        <w:numPr>
          <w:ilvl w:val="0"/>
          <w:numId w:val="1002"/>
        </w:numPr>
        <w:pStyle w:val="Compact"/>
      </w:pPr>
      <w:r>
        <w:t xml:space="preserve">Achieve 90% brand recognition among top aerospace engineering communities in the Gulf region within 12 months</w:t>
      </w:r>
    </w:p>
    <w:p>
      <w:pPr>
        <w:numPr>
          <w:ilvl w:val="0"/>
          <w:numId w:val="1002"/>
        </w:numPr>
        <w:pStyle w:val="Compact"/>
      </w:pPr>
      <w:r>
        <w:t xml:space="preserve">Secure 50+ qualified Aerospace Engineer candidates for Jeddah-based roles by Q3 2025</w:t>
      </w:r>
    </w:p>
    <w:p>
      <w:pPr>
        <w:numPr>
          <w:ilvl w:val="0"/>
          <w:numId w:val="1002"/>
        </w:numPr>
        <w:pStyle w:val="Compact"/>
      </w:pPr>
      <w:r>
        <w:t xml:space="preserve">Reduce time-to-hire from industry average (98 days) to under 60 days through targeted outreach</w:t>
      </w:r>
    </w:p>
    <w:p>
      <w:pPr>
        <w:numPr>
          <w:ilvl w:val="0"/>
          <w:numId w:val="1002"/>
        </w:numPr>
        <w:pStyle w:val="Compact"/>
      </w:pPr>
      <w:r>
        <w:t xml:space="preserve">Position Saudi Arabia Jeddah as a top-3 destination for aerospace talent in MENA (vs. Dubai, Doha)</w:t>
      </w:r>
    </w:p>
    <w:bookmarkEnd w:id="23"/>
    <w:bookmarkStart w:id="27" w:name="strategic-marketing-initiatives"/>
    <w:p>
      <w:pPr>
        <w:pStyle w:val="Heading2"/>
      </w:pPr>
      <w:r>
        <w:t xml:space="preserve">Strategic Marketing Initiatives</w:t>
      </w:r>
    </w:p>
    <w:p>
      <w:pPr>
        <w:pStyle w:val="FirstParagraph"/>
      </w:pPr>
      <w:r>
        <w:rPr>
          <w:bCs/>
          <w:b/>
        </w:rPr>
        <w:t xml:space="preserve">Campaign Name:</w:t>
      </w:r>
      <w:r>
        <w:t xml:space="preserve"> </w:t>
      </w:r>
      <w:r>
        <w:t xml:space="preserve">"Skyward Jeddah: Engineering the Future, Together"</w:t>
      </w:r>
    </w:p>
    <w:bookmarkStart w:id="24" w:name="digital-content-strategy"/>
    <w:p>
      <w:pPr>
        <w:pStyle w:val="Heading3"/>
      </w:pPr>
      <w:r>
        <w:t xml:space="preserve">1. Digital &amp; Content Strategy</w:t>
      </w:r>
    </w:p>
    <w:p>
      <w:pPr>
        <w:numPr>
          <w:ilvl w:val="0"/>
          <w:numId w:val="1003"/>
        </w:numPr>
        <w:pStyle w:val="Compact"/>
      </w:pPr>
      <w:r>
        <w:rPr>
          <w:bCs/>
          <w:b/>
        </w:rPr>
        <w:t xml:space="preserve">Platform-Specific Campaigns:</w:t>
      </w:r>
      <w:r>
        <w:t xml:space="preserve"> </w:t>
      </w:r>
      <w:r>
        <w:t xml:space="preserve">Geo-targeted LinkedIn ads showcasing Jeddah's aerospace ecosystem (e.g., videos of Saudi Arabian Airlines' new fleet at JED airport, interviews with local engineers). Budget allocation: $185,000</w:t>
      </w:r>
    </w:p>
    <w:p>
      <w:pPr>
        <w:numPr>
          <w:ilvl w:val="0"/>
          <w:numId w:val="1003"/>
        </w:numPr>
        <w:pStyle w:val="Compact"/>
      </w:pPr>
      <w:r>
        <w:rPr>
          <w:bCs/>
          <w:b/>
        </w:rPr>
        <w:t xml:space="preserve">Content Hub:</w:t>
      </w:r>
      <w:r>
        <w:t xml:space="preserve"> </w:t>
      </w:r>
      <w:r>
        <w:t xml:space="preserve">Launch "Jeddah Aerospace Careers" microsite featuring:</w:t>
      </w:r>
    </w:p>
    <w:p>
      <w:pPr>
        <w:numPr>
          <w:ilvl w:val="1"/>
          <w:numId w:val="1004"/>
        </w:numPr>
        <w:pStyle w:val="Compact"/>
      </w:pPr>
      <w:r>
        <w:t xml:space="preserve">Virtual tours of Jeddah's aerospace facilities (e.g., Saudi Arabian Airlines MRO center)</w:t>
      </w:r>
    </w:p>
    <w:p>
      <w:pPr>
        <w:numPr>
          <w:ilvl w:val="1"/>
          <w:numId w:val="1004"/>
        </w:numPr>
        <w:pStyle w:val="Compact"/>
      </w:pPr>
      <w:r>
        <w:t xml:space="preserve">Saudi Arabia Vision 2030 integration: How their work contributes to national goals</w:t>
      </w:r>
    </w:p>
    <w:p>
      <w:pPr>
        <w:numPr>
          <w:ilvl w:val="1"/>
          <w:numId w:val="1004"/>
        </w:numPr>
        <w:pStyle w:val="Compact"/>
      </w:pPr>
      <w:r>
        <w:t xml:space="preserve">Testimonials from expatriate Aerospace Engineers in Jeddah (e.g., "I built my career here while experiencing the Red Sea culture")</w:t>
      </w:r>
    </w:p>
    <w:bookmarkEnd w:id="24"/>
    <w:bookmarkStart w:id="25" w:name="strategic-partnerships"/>
    <w:p>
      <w:pPr>
        <w:pStyle w:val="Heading3"/>
      </w:pPr>
      <w:r>
        <w:t xml:space="preserve">2. Strategic Partnerships</w:t>
      </w:r>
    </w:p>
    <w:p>
      <w:pPr>
        <w:numPr>
          <w:ilvl w:val="0"/>
          <w:numId w:val="1005"/>
        </w:numPr>
        <w:pStyle w:val="Compact"/>
      </w:pPr>
      <w:r>
        <w:rPr>
          <w:bCs/>
          <w:b/>
        </w:rPr>
        <w:t xml:space="preserve">University Collaborations:</w:t>
      </w:r>
      <w:r>
        <w:t xml:space="preserve"> </w:t>
      </w:r>
      <w:r>
        <w:t xml:space="preserve">Partner with KAUST, King Fahd University of Petroleum &amp; Minerals (KFUPM), and international institutions (e.g., MIT, TU Delft) for talent pipelines. Sponsor aerospace engineering symposiums in Jeddah.</w:t>
      </w:r>
    </w:p>
    <w:p>
      <w:pPr>
        <w:numPr>
          <w:ilvl w:val="0"/>
          <w:numId w:val="1005"/>
        </w:numPr>
        <w:pStyle w:val="Compact"/>
      </w:pPr>
      <w:r>
        <w:rPr>
          <w:bCs/>
          <w:b/>
        </w:rPr>
        <w:t xml:space="preserve">Industry Alliances:</w:t>
      </w:r>
      <w:r>
        <w:t xml:space="preserve"> </w:t>
      </w:r>
      <w:r>
        <w:t xml:space="preserve">Co-host events with Boeing, Airbus Saudi Arabia, and SAMA (Saudi Military Industries) to showcase real-world projects in Jeddah.</w:t>
      </w:r>
    </w:p>
    <w:bookmarkEnd w:id="25"/>
    <w:bookmarkStart w:id="26" w:name="cultural-experiential-marketing"/>
    <w:p>
      <w:pPr>
        <w:pStyle w:val="Heading3"/>
      </w:pPr>
      <w:r>
        <w:t xml:space="preserve">3. Cultural &amp; Experiential Marketing</w:t>
      </w:r>
    </w:p>
    <w:p>
      <w:pPr>
        <w:numPr>
          <w:ilvl w:val="0"/>
          <w:numId w:val="1006"/>
        </w:numPr>
        <w:pStyle w:val="Compact"/>
      </w:pPr>
      <w:r>
        <w:rPr>
          <w:bCs/>
          <w:b/>
        </w:rPr>
        <w:t xml:space="preserve">Jeddah Experience Packages:</w:t>
      </w:r>
      <w:r>
        <w:t xml:space="preserve"> </w:t>
      </w:r>
      <w:r>
        <w:t xml:space="preserve">Offer 10-day immersive tours for shortlisted candidates including:</w:t>
      </w:r>
    </w:p>
    <w:p>
      <w:pPr>
        <w:numPr>
          <w:ilvl w:val="1"/>
          <w:numId w:val="1007"/>
        </w:numPr>
        <w:pStyle w:val="Compact"/>
      </w:pPr>
      <w:r>
        <w:t xml:space="preserve">Tour of Jeddah's new aerospace cluster at King Abdullah Economic City (KAEC)</w:t>
      </w:r>
    </w:p>
    <w:p>
      <w:pPr>
        <w:numPr>
          <w:ilvl w:val="1"/>
          <w:numId w:val="1007"/>
        </w:numPr>
        <w:pStyle w:val="Compact"/>
      </w:pPr>
      <w:r>
        <w:t xml:space="preserve">Meetings with Saudi Vision 2030 leaders</w:t>
      </w:r>
    </w:p>
    <w:p>
      <w:pPr>
        <w:numPr>
          <w:ilvl w:val="1"/>
          <w:numId w:val="1007"/>
        </w:numPr>
        <w:pStyle w:val="Compact"/>
      </w:pPr>
      <w:r>
        <w:t xml:space="preserve">Cultural immersion (e.g., historic Al-Balad district, Red Sea culinary experiences)</w:t>
      </w:r>
    </w:p>
    <w:p>
      <w:pPr>
        <w:numPr>
          <w:ilvl w:val="0"/>
          <w:numId w:val="1006"/>
        </w:numPr>
        <w:pStyle w:val="Compact"/>
      </w:pPr>
      <w:r>
        <w:rPr>
          <w:bCs/>
          <w:b/>
        </w:rPr>
        <w:t xml:space="preserve">Social Proof:</w:t>
      </w:r>
      <w:r>
        <w:t xml:space="preserve"> </w:t>
      </w:r>
      <w:r>
        <w:t xml:space="preserve">Leverage employee advocacy—send current Jeddah-based Aerospace Engineers to speak at global conferences (e.g., AIAA ASCEND) with "I chose Jeddah" story videos.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(USD)</w:t>
            </w:r>
          </w:p>
        </w:tc>
        <w:tc>
          <w:tcPr/>
          <w:p>
            <w:pPr>
              <w:pStyle w:val="Compact"/>
              <w:jc w:val="left"/>
            </w:pPr>
            <w:r>
              <w:t xml:space="preserve">Expected ROI</w:t>
            </w:r>
          </w:p>
        </w:tc>
      </w:tr>
      <w:tr>
        <w:tc>
          <w:tcPr/>
          <w:p>
            <w:pPr>
              <w:pStyle w:val="Compact"/>
              <w:jc w:val="left"/>
            </w:pPr>
            <w:r>
              <w:t xml:space="preserve">Digital Advertising &amp; SEO</w:t>
            </w:r>
          </w:p>
        </w:tc>
        <w:tc>
          <w:tcPr/>
          <w:p>
            <w:pPr>
              <w:pStyle w:val="Compact"/>
              <w:jc w:val="left"/>
            </w:pPr>
            <w:r>
              <w:t xml:space="preserve">$185,000</w:t>
            </w:r>
          </w:p>
        </w:tc>
        <w:tc>
          <w:tcPr/>
          <w:p>
            <w:pPr>
              <w:pStyle w:val="Compact"/>
              <w:jc w:val="left"/>
            </w:pPr>
            <w:r>
              <w:t xml:space="preserve">3.2x: 75% of applicants from targeted campaigns</w:t>
            </w:r>
          </w:p>
        </w:tc>
      </w:tr>
      <w:tr>
        <w:tc>
          <w:tcPr/>
          <w:p>
            <w:pPr>
              <w:pStyle w:val="Compact"/>
              <w:jc w:val="left"/>
            </w:pPr>
            <w:r>
              <w:t xml:space="preserve">Strategic Partnerships &amp; Events</w:t>
            </w:r>
          </w:p>
        </w:tc>
        <w:tc>
          <w:tcPr/>
          <w:p>
            <w:pPr>
              <w:pStyle w:val="Compact"/>
              <w:jc w:val="left"/>
            </w:pPr>
            <w:r>
              <w:t xml:space="preserve">$150,000</w:t>
            </w:r>
          </w:p>
        </w:tc>
        <w:tc>
          <w:tcPr/>
          <w:p>
            <w:pPr>
              <w:pStyle w:val="Compact"/>
              <w:jc w:val="left"/>
            </w:pPr>
            <w:r>
              <w:t xml:space="preserve">4.1x: Direct referrals from universities/industry partners</w:t>
            </w:r>
          </w:p>
        </w:tc>
      </w:tr>
      <w:tr>
        <w:tc>
          <w:tcPr/>
          <w:p>
            <w:pPr>
              <w:pStyle w:val="Compact"/>
              <w:jc w:val="left"/>
            </w:pPr>
            <w:r>
              <w:t xml:space="preserve">Cultural Experience Program</w:t>
            </w:r>
          </w:p>
        </w:tc>
        <w:tc>
          <w:tcPr/>
          <w:p>
            <w:pPr>
              <w:pStyle w:val="Compact"/>
              <w:jc w:val="left"/>
            </w:pPr>
            <w:r>
              <w:t xml:space="preserve">$75,000</w:t>
            </w:r>
          </w:p>
        </w:tc>
        <w:tc>
          <w:tcPr/>
          <w:p>
            <w:pPr>
              <w:pStyle w:val="Compact"/>
              <w:jc w:val="left"/>
            </w:pPr>
            <w:r>
              <w:t xml:space="preserve">6.3x: 82% conversion rate from tours to job offers (vs. 41% industry avg)</w:t>
            </w:r>
          </w:p>
        </w:tc>
      </w:tr>
      <w:tr>
        <w:tc>
          <w:tcPr/>
          <w:p>
            <w:pPr>
              <w:pStyle w:val="Compact"/>
              <w:jc w:val="left"/>
            </w:pPr>
            <w:r>
              <w:t xml:space="preserve">Content Development &amp; PR</w:t>
            </w:r>
          </w:p>
        </w:tc>
        <w:tc>
          <w:tcPr/>
          <w:p>
            <w:pPr>
              <w:pStyle w:val="Compact"/>
              <w:jc w:val="left"/>
            </w:pPr>
            <w:r>
              <w:t xml:space="preserve">$90,000</w:t>
            </w:r>
          </w:p>
        </w:tc>
        <w:tc>
          <w:tcPr/>
          <w:p>
            <w:pPr>
              <w:pStyle w:val="Compact"/>
              <w:jc w:val="left"/>
            </w:pPr>
            <w:r>
              <w:t xml:space="preserve">2.8x: Media coverage in Aviation Week, Engineering News</w:t>
            </w:r>
          </w:p>
        </w:tc>
      </w:tr>
      <w:tr>
        <w:tc>
          <w:tcPr/>
          <w:p>
            <w:pPr>
              <w:pStyle w:val="Compact"/>
              <w:jc w:val="left"/>
            </w:pPr>
            <w:r>
              <w:t xml:space="preserve">Total</w:t>
            </w:r>
          </w:p>
        </w:tc>
        <w:tc>
          <w:tcPr/>
          <w:p>
            <w:pPr>
              <w:pStyle w:val="Compact"/>
              <w:jc w:val="left"/>
            </w:pPr>
            <w:r>
              <w:t xml:space="preserve">$500,000</w:t>
            </w:r>
          </w:p>
        </w:tc>
        <w:tc>
          <w:tcPr/>
          <w:p>
            <w:pPr>
              <w:pStyle w:val="Compact"/>
              <w:jc w:val="left"/>
            </w:pPr>
            <w:r>
              <w:t xml:space="preserve">3.6x average ROI</w:t>
            </w:r>
          </w:p>
        </w:tc>
      </w:tr>
    </w:tbl>
    <w:bookmarkEnd w:id="28"/>
    <w:bookmarkStart w:id="29" w:name="implementation-timeline-18-months"/>
    <w:p>
      <w:pPr>
        <w:pStyle w:val="Heading2"/>
      </w:pPr>
      <w:r>
        <w:t xml:space="preserve">Implementation Timeline (18 Months)</w:t>
      </w:r>
    </w:p>
    <w:p>
      <w:pPr>
        <w:numPr>
          <w:ilvl w:val="0"/>
          <w:numId w:val="1008"/>
        </w:numPr>
        <w:pStyle w:val="Compact"/>
      </w:pPr>
      <w:r>
        <w:rPr>
          <w:bCs/>
          <w:b/>
        </w:rPr>
        <w:t xml:space="preserve">Months 1-3:</w:t>
      </w:r>
      <w:r>
        <w:t xml:space="preserve"> </w:t>
      </w:r>
      <w:r>
        <w:t xml:space="preserve">Market research finalization, microsite launch, university partnership MOUs</w:t>
      </w:r>
    </w:p>
    <w:p>
      <w:pPr>
        <w:numPr>
          <w:ilvl w:val="0"/>
          <w:numId w:val="1008"/>
        </w:numPr>
        <w:pStyle w:val="Compact"/>
      </w:pPr>
      <w:r>
        <w:rPr>
          <w:bCs/>
          <w:b/>
        </w:rPr>
        <w:t xml:space="preserve">Months 4-9:</w:t>
      </w:r>
      <w:r>
        <w:t xml:space="preserve"> </w:t>
      </w:r>
      <w:r>
        <w:t xml:space="preserve">Digital campaign rollout, first Jeddah Experience Tour (Q3), KAUST symposium sponsorship</w:t>
      </w:r>
    </w:p>
    <w:p>
      <w:pPr>
        <w:numPr>
          <w:ilvl w:val="0"/>
          <w:numId w:val="1008"/>
        </w:numPr>
        <w:pStyle w:val="Compact"/>
      </w:pPr>
      <w:r>
        <w:rPr>
          <w:bCs/>
          <w:b/>
        </w:rPr>
        <w:t xml:space="preserve">Months 10-15:</w:t>
      </w:r>
      <w:r>
        <w:t xml:space="preserve"> </w:t>
      </w:r>
      <w:r>
        <w:t xml:space="preserve">Industry event participation, content amplification via engineer testimonials</w:t>
      </w:r>
    </w:p>
    <w:p>
      <w:pPr>
        <w:numPr>
          <w:ilvl w:val="0"/>
          <w:numId w:val="1008"/>
        </w:numPr>
        <w:pStyle w:val="Compact"/>
      </w:pPr>
      <w:r>
        <w:rPr>
          <w:bCs/>
          <w:b/>
        </w:rPr>
        <w:t xml:space="preserve">Months 16-18:</w:t>
      </w:r>
      <w:r>
        <w:t xml:space="preserve"> </w:t>
      </w:r>
      <w:r>
        <w:t xml:space="preserve">Performance analysis, expansion to new talent pools (e.g., emerging economies)</w:t>
      </w:r>
    </w:p>
    <w:bookmarkEnd w:id="29"/>
    <w:bookmarkStart w:id="30" w:name="performance-metrics-kpis"/>
    <w:p>
      <w:pPr>
        <w:pStyle w:val="Heading2"/>
      </w:pPr>
      <w:r>
        <w:t xml:space="preserve">Performance Metrics &amp; KPIs</w:t>
      </w:r>
    </w:p>
    <w:p>
      <w:pPr>
        <w:pStyle w:val="FirstParagraph"/>
      </w:pPr>
      <w:r>
        <w:t xml:space="preserve">We will measure success through:</w:t>
      </w:r>
    </w:p>
    <w:p>
      <w:pPr>
        <w:numPr>
          <w:ilvl w:val="0"/>
          <w:numId w:val="1009"/>
        </w:numPr>
        <w:pStyle w:val="Compact"/>
      </w:pPr>
      <w:r>
        <w:rPr>
          <w:bCs/>
          <w:b/>
        </w:rPr>
        <w:t xml:space="preserve">Talent Acquisition Metrics:</w:t>
      </w:r>
      <w:r>
        <w:t xml:space="preserve"> </w:t>
      </w:r>
      <w:r>
        <w:t xml:space="preserve">Candidates sourced (target: 50+), time-to-hire, candidate satisfaction scores</w:t>
      </w:r>
    </w:p>
    <w:p>
      <w:pPr>
        <w:numPr>
          <w:ilvl w:val="0"/>
          <w:numId w:val="1009"/>
        </w:numPr>
        <w:pStyle w:val="Compact"/>
      </w:pPr>
      <w:r>
        <w:rPr>
          <w:bCs/>
          <w:b/>
        </w:rPr>
        <w:t xml:space="preserve">Brand Impact:</w:t>
      </w:r>
      <w:r>
        <w:t xml:space="preserve"> </w:t>
      </w:r>
      <w:r>
        <w:t xml:space="preserve">Social media engagement rate (target: 12%), website traffic from target regions (e.g., Europe, US, India)</w:t>
      </w:r>
    </w:p>
    <w:p>
      <w:pPr>
        <w:numPr>
          <w:ilvl w:val="0"/>
          <w:numId w:val="1009"/>
        </w:numPr>
        <w:pStyle w:val="Compact"/>
      </w:pPr>
      <w:r>
        <w:rPr>
          <w:bCs/>
          <w:b/>
        </w:rPr>
        <w:t xml:space="preserve">Business Alignment:</w:t>
      </w:r>
      <w:r>
        <w:t xml:space="preserve"> </w:t>
      </w:r>
      <w:r>
        <w:t xml:space="preserve">% of hires contributing to Vision 2030 aerospace projects within 6 months</w:t>
      </w:r>
    </w:p>
    <w:bookmarkEnd w:id="30"/>
    <w:bookmarkStart w:id="31" w:name="conclusion"/>
    <w:p>
      <w:pPr>
        <w:pStyle w:val="Heading2"/>
      </w:pPr>
      <w:r>
        <w:t xml:space="preserve">Conclusion</w:t>
      </w:r>
    </w:p>
    <w:p>
      <w:pPr>
        <w:pStyle w:val="FirstParagraph"/>
      </w:pPr>
      <w:r>
        <w:t xml:space="preserve">This Marketing Plan positions Saudi Arabia Jeddah not merely as a job location, but as the catalyst for an engineer's transformative career. By strategically framing Jeddah as the confluence of cutting-edge aerospace innovation and authentic cultural immersion—supported by Vision 2030's bold investments—we create irresistible appeal for elite Aerospace Engineers worldwide. The plan leverages Jeddah's unique advantages: its status as a global airport hub, rapidly developing aerospace infrastructure at KAEC, and the Kingdom's commitment to welcoming international talent with streamlined visas and premium living standards. As Saudi Arabia accelerates toward becoming a top-5 aerospace power by 2030, this Marketing Plan ensures that Jeddah becomes the epicenter of talent acquisition for Aerospace Engineers who seek to build their legacy where ambition meets opportunity. The success of this initiative will directly propel Saudi Arabia's aerospace vision while delivering unmatched value to every engineer who chooses to advance their career in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Saudi Arabia Jeddah</dc:title>
  <dc:creator/>
  <dc:language>en</dc:language>
  <cp:keywords/>
  <dcterms:created xsi:type="dcterms:W3CDTF">2026-07-23T07:20:01Z</dcterms:created>
  <dcterms:modified xsi:type="dcterms:W3CDTF">2026-07-23T07:20:01Z</dcterms:modified>
</cp:coreProperties>
</file>

<file path=docProps/custom.xml><?xml version="1.0" encoding="utf-8"?>
<Properties xmlns="http://schemas.openxmlformats.org/officeDocument/2006/custom-properties" xmlns:vt="http://schemas.openxmlformats.org/officeDocument/2006/docPropsVTypes"/>
</file>