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Architect</w:t>
      </w:r>
      <w:r>
        <w:t xml:space="preserve"> </w:t>
      </w:r>
      <w:r>
        <w:t xml:space="preserve">Firm</w:t>
      </w:r>
    </w:p>
    <w:bookmarkStart w:id="33" w:name="X1912a55e23402a291ec0bbe762b70a780bfcb00"/>
    <w:p>
      <w:pPr>
        <w:pStyle w:val="Heading1"/>
      </w:pPr>
      <w:r>
        <w:t xml:space="preserve">Comprehensive Marketing Plan for [Your Architect Firm Name]: Elevating Design Excellence in Australia Brisbane</w:t>
      </w:r>
    </w:p>
    <w:bookmarkStart w:id="20" w:name="executive-summary"/>
    <w:p>
      <w:pPr>
        <w:pStyle w:val="Heading2"/>
      </w:pPr>
      <w:r>
        <w:t xml:space="preserve">Executive Summary</w:t>
      </w:r>
    </w:p>
    <w:p>
      <w:pPr>
        <w:pStyle w:val="FirstParagraph"/>
      </w:pPr>
      <w:r>
        <w:t xml:space="preserve">This Marketing Plan outlines a strategic roadmap for [Your Architect Firm Name], positioning us as Brisbane's premier architectural practice within the dynamic Australian market. As a distinguished Architect firm operating across Australia Brisbane, we target premium residential, commercial, and sustainable design projects. Our plan leverages Brisbane's booming construction sector—driven by population growth, infrastructure investments like the Cross River Rail, and strong demand for climate-responsive architecture—to capture 25% market share in the $120M Brisbane high-end residential segment within three years. This Marketing Plan integrates digital innovation with community engagement to establish our Architect brand as synonymous with transformative design excellence in Australia Brisbane.</w:t>
      </w:r>
    </w:p>
    <w:bookmarkEnd w:id="20"/>
    <w:bookmarkStart w:id="21" w:name="X8fb0e52bda3934549b86c014c40401b49d05d9c"/>
    <w:p>
      <w:pPr>
        <w:pStyle w:val="Heading2"/>
      </w:pPr>
      <w:r>
        <w:t xml:space="preserve">Situation Analysis: Australia Brisbane Market Context</w:t>
      </w:r>
    </w:p>
    <w:p>
      <w:pPr>
        <w:pStyle w:val="FirstParagraph"/>
      </w:pPr>
      <w:r>
        <w:t xml:space="preserve">Brisbane's architectural landscape presents unparalleled opportunities. With Queensland’s population projected to reach 10 million by 2050, the city experiences a 4.7% annual construction growth rate (ABS, 2023). As an Architect firm deeply embedded in Australia Brisbane, we recognize critical market gaps: only 18% of local projects incorporate certified sustainable design (Green Building Council of Australia), and clients increasingly demand transparent project management. Competitor analysis reveals a dominance of Melbourne-based firms in the premium segment (42% market share) with minimal Brisbane-specific expertise. Our unique advantage lies in our hyperlocal knowledge—navigating Brisbane's subtropical climate, flood-prone zones, and cultural identity—to deliver solutions competitors overlook.</w:t>
      </w:r>
    </w:p>
    <w:bookmarkEnd w:id="21"/>
    <w:bookmarkStart w:id="22" w:name="target-audience"/>
    <w:p>
      <w:pPr>
        <w:pStyle w:val="Heading2"/>
      </w:pPr>
      <w:r>
        <w:t xml:space="preserve">Target Audience</w:t>
      </w:r>
    </w:p>
    <w:p>
      <w:pPr>
        <w:pStyle w:val="FirstParagraph"/>
      </w:pPr>
      <w:r>
        <w:t xml:space="preserve">We focus on three high-value segments within Australia Brisbane:</w:t>
      </w:r>
    </w:p>
    <w:p>
      <w:pPr>
        <w:numPr>
          <w:ilvl w:val="0"/>
          <w:numId w:val="1001"/>
        </w:numPr>
        <w:pStyle w:val="Compact"/>
      </w:pPr>
      <w:r>
        <w:rPr>
          <w:bCs/>
          <w:b/>
        </w:rPr>
        <w:t xml:space="preserve">High-Net-Worth Residential Clients</w:t>
      </w:r>
      <w:r>
        <w:t xml:space="preserve">: Affluent homeowners seeking bespoke homes (&gt;$3M) in inner-city suburbs (New Farm, Paddington) and coastal areas (Hamilton, Scarborough), prioritizing energy efficiency and heritage-sensitive designs.</w:t>
      </w:r>
    </w:p>
    <w:p>
      <w:pPr>
        <w:numPr>
          <w:ilvl w:val="0"/>
          <w:numId w:val="1001"/>
        </w:numPr>
        <w:pStyle w:val="Compact"/>
      </w:pPr>
      <w:r>
        <w:rPr>
          <w:bCs/>
          <w:b/>
        </w:rPr>
        <w:t xml:space="preserve">Commercial Developers</w:t>
      </w:r>
      <w:r>
        <w:t xml:space="preserve">: Property developers targeting Brisbane's CBD expansion and new employment hubs like the $700M Brisbane Innovation Park. They require Architect-led solutions for ESG-compliant office spaces.</w:t>
      </w:r>
    </w:p>
    <w:p>
      <w:pPr>
        <w:numPr>
          <w:ilvl w:val="0"/>
          <w:numId w:val="1001"/>
        </w:numPr>
        <w:pStyle w:val="Compact"/>
      </w:pPr>
      <w:r>
        <w:rPr>
          <w:bCs/>
          <w:b/>
        </w:rPr>
        <w:t xml:space="preserve">Government &amp; Institutional Bodies</w:t>
      </w:r>
      <w:r>
        <w:t xml:space="preserve">: Councils (Brisbane City Council) and universities seeking sustainable public infrastructure aligned with Queensland’s Climate Action Plan 2050.</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45% brand recognition among Brisbane homeowners in premium suburbs within 18 months.</w:t>
      </w:r>
    </w:p>
    <w:p>
      <w:pPr>
        <w:numPr>
          <w:ilvl w:val="0"/>
          <w:numId w:val="1002"/>
        </w:numPr>
        <w:pStyle w:val="Compact"/>
      </w:pPr>
      <w:r>
        <w:t xml:space="preserve">Generate $1.8M in new Architect project inquiries annually by Year 2.</w:t>
      </w:r>
    </w:p>
    <w:p>
      <w:pPr>
        <w:numPr>
          <w:ilvl w:val="0"/>
          <w:numId w:val="1002"/>
        </w:numPr>
        <w:pStyle w:val="Compact"/>
      </w:pPr>
      <w:r>
        <w:t xml:space="preserve">Secure three major commercial projects (min. $500k value) through government tenders by Q4 2025.</w:t>
      </w:r>
    </w:p>
    <w:p>
      <w:pPr>
        <w:numPr>
          <w:ilvl w:val="0"/>
          <w:numId w:val="1002"/>
        </w:numPr>
        <w:pStyle w:val="Compact"/>
      </w:pPr>
      <w:r>
        <w:t xml:space="preserve">Achieve a 35% client referral rate via exceptional service—critical for Australia Brisbane's relationship-driven market.</w:t>
      </w:r>
    </w:p>
    <w:bookmarkEnd w:id="23"/>
    <w:bookmarkStart w:id="28" w:name="marketing-strategies-tactics"/>
    <w:p>
      <w:pPr>
        <w:pStyle w:val="Heading2"/>
      </w:pPr>
      <w:r>
        <w:t xml:space="preserve">Marketing Strategies &amp; Tactics</w:t>
      </w:r>
    </w:p>
    <w:p>
      <w:pPr>
        <w:pStyle w:val="FirstParagraph"/>
      </w:pPr>
      <w:r>
        <w:t xml:space="preserve">Our Australia Brisbane-centric approach blends digital precision with community immersion:</w:t>
      </w:r>
    </w:p>
    <w:bookmarkStart w:id="24" w:name="hyperlocal-digital-strategy"/>
    <w:p>
      <w:pPr>
        <w:pStyle w:val="Heading3"/>
      </w:pPr>
      <w:r>
        <w:t xml:space="preserve">1. Hyperlocal Digital Strategy</w:t>
      </w:r>
    </w:p>
    <w:p>
      <w:pPr>
        <w:pStyle w:val="FirstParagraph"/>
      </w:pPr>
      <w:r>
        <w:t xml:space="preserve">We'll deploy location-specific SEO targeting "Brisbane Architect" and "Sustainable Home Designer Brisbane" to capture 70% of local search traffic. Our website will feature a dedicated "Brisbane Projects Gallery" showcasing climate-responsive designs for subtropical conditions (e.g., flood-resistant homes in Kangaroo Point, solar-optimized layouts for Toowong). A mobile app offering real-time construction updates will differentiate us as the modern Architect firm in Australia Brisbane.</w:t>
      </w:r>
    </w:p>
    <w:bookmarkEnd w:id="24"/>
    <w:bookmarkStart w:id="25" w:name="community-engagement-thought-leadership"/>
    <w:p>
      <w:pPr>
        <w:pStyle w:val="Heading3"/>
      </w:pPr>
      <w:r>
        <w:t xml:space="preserve">2. Community Engagement &amp; Thought Leadership</w:t>
      </w:r>
    </w:p>
    <w:p>
      <w:pPr>
        <w:pStyle w:val="FirstParagraph"/>
      </w:pPr>
      <w:r>
        <w:t xml:space="preserve">Brisbane thrives on community connection. We'll host quarterly "Design for Brisbane" forums at QUT or the Queensland Art Gallery, featuring talks on topics like "Architecting for Climate Resilience in Australia Brisbane." Our Architect team will contribute to the *Brisbane Times*’ architecture column and sponsor local events (e.g., Brisbane Festival), reinforcing our role as a cultural pillar. This positions us not just as an Architect firm but as a catalyst for Brisbane’s built environment evolution.</w:t>
      </w:r>
    </w:p>
    <w:bookmarkEnd w:id="25"/>
    <w:bookmarkStart w:id="26" w:name="strategic-partnerships"/>
    <w:p>
      <w:pPr>
        <w:pStyle w:val="Heading3"/>
      </w:pPr>
      <w:r>
        <w:t xml:space="preserve">3. Strategic Partnerships</w:t>
      </w:r>
    </w:p>
    <w:p>
      <w:pPr>
        <w:pStyle w:val="FirstParagraph"/>
      </w:pPr>
      <w:r>
        <w:t xml:space="preserve">Collaborate with key Australia Brisbane stakeholders:</w:t>
      </w:r>
      <w:r>
        <w:t xml:space="preserve"> </w:t>
      </w:r>
      <w:r>
        <w:t xml:space="preserve">• Queensland Building and Construction Commission (QBCC) for accreditation visibility</w:t>
      </w:r>
      <w:r>
        <w:t xml:space="preserve"> </w:t>
      </w:r>
      <w:r>
        <w:t xml:space="preserve">• Local timber suppliers (e.g., Timbarra Timber) for sustainable material showcases</w:t>
      </w:r>
      <w:r>
        <w:t xml:space="preserve"> </w:t>
      </w:r>
      <w:r>
        <w:t xml:space="preserve">• Real estate agencies like Ray White Brisbane for client referrals.</w:t>
      </w:r>
      <w:r>
        <w:t xml:space="preserve"> </w:t>
      </w:r>
      <w:r>
        <w:t xml:space="preserve">Partnerships will be highlighted in case studies, e.g., "The Riverbend Residence: An Architect Partnership with GreenSpace Builders."</w:t>
      </w:r>
    </w:p>
    <w:bookmarkEnd w:id="26"/>
    <w:bookmarkStart w:id="27" w:name="Xae867896002031e1f4226dde6704132b6f113e4"/>
    <w:p>
      <w:pPr>
        <w:pStyle w:val="Heading3"/>
      </w:pPr>
      <w:r>
        <w:t xml:space="preserve">4. Sustainable Design as Core Marketing Pillar</w:t>
      </w:r>
    </w:p>
    <w:p>
      <w:pPr>
        <w:pStyle w:val="FirstParagraph"/>
      </w:pPr>
      <w:r>
        <w:t xml:space="preserve">We'll market our "Brisbane Climate Certification" process—assessing projects for flood resilience, thermal efficiency, and local biodiversity. This addresses Brisbane-specific pain points (e.g., 2022 floods) while aligning with Queensland’s regulatory push. All marketing collateral will feature ESG metrics: "Our designs reduce energy costs by 35% in Brisbane's climate—saving clients $18k/year."</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Key Performance Indicator (KPI)</w:t>
            </w:r>
          </w:p>
        </w:tc>
      </w:tr>
      <w:tr>
        <w:tc>
          <w:tcPr/>
          <w:p>
            <w:pPr>
              <w:pStyle w:val="Compact"/>
              <w:jc w:val="left"/>
            </w:pPr>
            <w:r>
              <w:t xml:space="preserve">Digital Campaigns (SEO, Google Ads for "Brisbane Architect")</w:t>
            </w:r>
          </w:p>
        </w:tc>
        <w:tc>
          <w:tcPr/>
          <w:p>
            <w:pPr>
              <w:pStyle w:val="Compact"/>
              <w:jc w:val="left"/>
            </w:pPr>
            <w:r>
              <w:t xml:space="preserve">$35,000/year</w:t>
            </w:r>
          </w:p>
        </w:tc>
        <w:tc>
          <w:tcPr/>
          <w:p>
            <w:pPr>
              <w:pStyle w:val="Compact"/>
              <w:jc w:val="left"/>
            </w:pPr>
            <w:r>
              <w:t xml:space="preserve">25% increase in qualified website leads</w:t>
            </w:r>
          </w:p>
        </w:tc>
      </w:tr>
      <w:tr>
        <w:tc>
          <w:tcPr/>
          <w:p>
            <w:pPr>
              <w:pStyle w:val="Compact"/>
              <w:jc w:val="left"/>
            </w:pPr>
            <w:r>
              <w:t xml:space="preserve">Community Events &amp; Sponsorships</w:t>
            </w:r>
          </w:p>
        </w:tc>
        <w:tc>
          <w:tcPr/>
          <w:p>
            <w:pPr>
              <w:pStyle w:val="Compact"/>
              <w:jc w:val="left"/>
            </w:pPr>
            <w:r>
              <w:t xml:space="preserve">$28,000/year</w:t>
            </w:r>
          </w:p>
        </w:tc>
        <w:tc>
          <w:tcPr/>
          <w:p>
            <w:pPr>
              <w:pStyle w:val="Compact"/>
              <w:jc w:val="left"/>
            </w:pPr>
            <w:r>
              <w:t xml:space="preserve">15+ new relationships with local stakeholders</w:t>
            </w:r>
          </w:p>
        </w:tc>
      </w:tr>
      <w:tr>
        <w:tc>
          <w:tcPr/>
          <w:p>
            <w:pPr>
              <w:pStyle w:val="Compact"/>
              <w:jc w:val="left"/>
            </w:pPr>
            <w:r>
              <w:t xml:space="preserve">Sustainability Certification Marketing Materials</w:t>
            </w:r>
          </w:p>
        </w:tc>
        <w:tc>
          <w:tcPr/>
          <w:p>
            <w:pPr>
              <w:pStyle w:val="Compact"/>
              <w:jc w:val="left"/>
            </w:pPr>
            <w:r>
              <w:t xml:space="preserve">$15,000/year</w:t>
            </w:r>
          </w:p>
        </w:tc>
        <w:tc>
          <w:tcPr/>
          <w:p>
            <w:pPr>
              <w:pStyle w:val="Compact"/>
              <w:jc w:val="left"/>
            </w:pPr>
            <w:r>
              <w:t xml:space="preserve">4.2 average client satisfaction score on ESG value</w:t>
            </w:r>
          </w:p>
        </w:tc>
      </w:tr>
      <w:tr>
        <w:tc>
          <w:tcPr/>
          <w:p>
            <w:pPr>
              <w:pStyle w:val="Compact"/>
              <w:jc w:val="left"/>
            </w:pPr>
            <w:r>
              <w:t xml:space="preserve">Partnership Development (QBCC, Real Estate)</w:t>
            </w:r>
          </w:p>
        </w:tc>
        <w:tc>
          <w:tcPr/>
          <w:p>
            <w:pPr>
              <w:pStyle w:val="Compact"/>
              <w:jc w:val="left"/>
            </w:pPr>
            <w:r>
              <w:t xml:space="preserve">$22,000/year</w:t>
            </w:r>
          </w:p>
        </w:tc>
        <w:tc>
          <w:tcPr/>
          <w:p>
            <w:pPr>
              <w:pStyle w:val="Compact"/>
              <w:jc w:val="left"/>
            </w:pPr>
            <w:r>
              <w:t xml:space="preserve">3 new referral partnerships secured</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Brisbane-focused website update, secure QBCC partnership.</w:t>
      </w:r>
      <w:r>
        <w:t xml:space="preserve"> </w:t>
      </w:r>
      <w:r>
        <w:rPr>
          <w:bCs/>
          <w:b/>
        </w:rPr>
        <w:t xml:space="preserve">Months 4-6:</w:t>
      </w:r>
      <w:r>
        <w:t xml:space="preserve"> </w:t>
      </w:r>
      <w:r>
        <w:t xml:space="preserve">Host first "Design for Brisbane" forum; deploy geo-targeted digital ads.</w:t>
      </w:r>
      <w:r>
        <w:t xml:space="preserve"> </w:t>
      </w:r>
      <w:r>
        <w:rPr>
          <w:bCs/>
          <w:b/>
        </w:rPr>
        <w:t xml:space="preserve">Months 7-9:</w:t>
      </w:r>
      <w:r>
        <w:t xml:space="preserve"> </w:t>
      </w:r>
      <w:r>
        <w:t xml:space="preserve">Release "Brisbane Climate Certification" toolkit; partner with two real estate agencies.</w:t>
      </w:r>
      <w:r>
        <w:t xml:space="preserve"> </w:t>
      </w:r>
      <w:r>
        <w:rPr>
          <w:bCs/>
          <w:b/>
        </w:rPr>
        <w:t xml:space="preserve">Months 10-12:</w:t>
      </w:r>
      <w:r>
        <w:t xml:space="preserve"> </w:t>
      </w:r>
      <w:r>
        <w:t xml:space="preserve">Achieve $500k in new projects from local referral partners.</w:t>
      </w:r>
    </w:p>
    <w:bookmarkEnd w:id="30"/>
    <w:bookmarkStart w:id="31" w:name="evaluation-control"/>
    <w:p>
      <w:pPr>
        <w:pStyle w:val="Heading2"/>
      </w:pPr>
      <w:r>
        <w:t xml:space="preserve">Evaluation &amp; Control</w:t>
      </w:r>
    </w:p>
    <w:p>
      <w:pPr>
        <w:pStyle w:val="FirstParagraph"/>
      </w:pPr>
      <w:r>
        <w:t xml:space="preserve">We measure success through Brisbane-specific metrics:</w:t>
      </w:r>
      <w:r>
        <w:t xml:space="preserve"> </w:t>
      </w:r>
      <w:r>
        <w:t xml:space="preserve">• Website traffic from Queensland (Google Analytics)</w:t>
      </w:r>
      <w:r>
        <w:t xml:space="preserve"> </w:t>
      </w:r>
      <w:r>
        <w:t xml:space="preserve">• Number of "Architect" inquiries mentioning Brisbane suburbs</w:t>
      </w:r>
      <w:r>
        <w:t xml:space="preserve"> </w:t>
      </w:r>
      <w:r>
        <w:t xml:space="preserve">• Client retention rates in Australia's competitive design market (target: 85%)</w:t>
      </w:r>
      <w:r>
        <w:t xml:space="preserve"> </w:t>
      </w:r>
      <w:r>
        <w:t xml:space="preserve">• Social media sentiment analysis of #BrisbaneArchitect campaigns</w:t>
      </w:r>
      <w:r>
        <w:t xml:space="preserve"> </w:t>
      </w:r>
      <w:r>
        <w:t xml:space="preserve">Monthly reviews will adjust tactics based on Brisbane’s market shifts—e.g., if flood insurance costs rise, we’ll pivot marketing to highlight our flood-resilient designs. A quarterly "Marketing Plan" audit ensures alignment with Queensland’s evolving building codes and Brisbane City Council priorities.</w:t>
      </w:r>
    </w:p>
    <w:bookmarkEnd w:id="31"/>
    <w:bookmarkStart w:id="32" w:name="X42f2d788e93a4ba8a54a325467def39f000909a"/>
    <w:p>
      <w:pPr>
        <w:pStyle w:val="Heading2"/>
      </w:pPr>
      <w:r>
        <w:t xml:space="preserve">Conclusion: Leading Architecture in Australia Brisbane</w:t>
      </w:r>
    </w:p>
    <w:p>
      <w:pPr>
        <w:pStyle w:val="FirstParagraph"/>
      </w:pPr>
      <w:r>
        <w:t xml:space="preserve">This Marketing Plan transforms [Your Architect Firm Name] from a service provider into the indispensable Architect partner for Brisbane’s built future. By embedding our firm within Australia Brisbane's cultural, climatic, and regulatory fabric—from Cross River Rail corridors to riverfront suburbs—we deliver more than designs; we deliver community legacy. Every tactic reinforces that in Australia Brisbane, exceptional architecture isn't optional—it's the foundation of a thriving city. This Marketing Plan ensures we don't just compete in the Architect market; we redefine it for Queensland's next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Architect Firm</dc:title>
  <dc:creator/>
  <dc:language>en</dc:language>
  <cp:keywords/>
  <dcterms:created xsi:type="dcterms:W3CDTF">2025-12-13T06:15:40Z</dcterms:created>
  <dcterms:modified xsi:type="dcterms:W3CDTF">2025-12-13T06:15:40Z</dcterms:modified>
</cp:coreProperties>
</file>

<file path=docProps/custom.xml><?xml version="1.0" encoding="utf-8"?>
<Properties xmlns="http://schemas.openxmlformats.org/officeDocument/2006/custom-properties" xmlns:vt="http://schemas.openxmlformats.org/officeDocument/2006/docPropsVTypes"/>
</file>