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3e12ffa4465be19ee3dd2de63e086eaa5dfdaec"/>
    <w:p>
      <w:pPr>
        <w:pStyle w:val="Heading1"/>
      </w:pPr>
      <w:r>
        <w:t xml:space="preserve">Comprehensive Marketing Plan for Architect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architectural practice within the competitive landscape of Canada Toronto. As the most populous city in Canada, Toronto presents unique opportunities for an innovative Architect to capture market share through hyper-localized marketing strategies. This document details how we will position our firm as the premier choice for residential, commercial, and sustainable design solutions across Ontario's largest urban center. With Toronto's construction sector projected to grow by 4.2% annually (according to Statistics Canada), this Marketing Plan targets a 25% market penetration in the luxury residential segment within three years.</w:t>
      </w:r>
    </w:p>
    <w:bookmarkEnd w:id="20"/>
    <w:bookmarkStart w:id="21" w:name="market-analysis-toronto-context"/>
    <w:p>
      <w:pPr>
        <w:pStyle w:val="Heading2"/>
      </w:pPr>
      <w:r>
        <w:t xml:space="preserve">Market Analysis: Toronto Context</w:t>
      </w:r>
    </w:p>
    <w:p>
      <w:pPr>
        <w:pStyle w:val="FirstParagraph"/>
      </w:pPr>
      <w:r>
        <w:t xml:space="preserve">Canada Toronto's architectural market is defined by rapid urbanization, stringent sustainability regulations (Toronto Green Standard), and a demand for high-density living solutions. The city's population of 2.7 million drives constant infrastructure development, creating a steady pipeline of projects requiring an Architect with deep local knowledge. Our analysis reveals:</w:t>
      </w:r>
    </w:p>
    <w:p>
      <w:pPr>
        <w:numPr>
          <w:ilvl w:val="0"/>
          <w:numId w:val="1001"/>
        </w:numPr>
        <w:pStyle w:val="Compact"/>
      </w:pPr>
      <w:r>
        <w:t xml:space="preserve">35% of Toronto homeowners seek professional design services annually (Toronto Real Estate Board)</w:t>
      </w:r>
    </w:p>
    <w:p>
      <w:pPr>
        <w:numPr>
          <w:ilvl w:val="0"/>
          <w:numId w:val="1001"/>
        </w:numPr>
        <w:pStyle w:val="Compact"/>
      </w:pPr>
      <w:r>
        <w:t xml:space="preserve">Commercial developers prioritize firms with LEED certification (68% of new constructions require it)</w:t>
      </w:r>
    </w:p>
    <w:p>
      <w:pPr>
        <w:numPr>
          <w:ilvl w:val="0"/>
          <w:numId w:val="1001"/>
        </w:numPr>
        <w:pStyle w:val="Compact"/>
      </w:pPr>
      <w:r>
        <w:t xml:space="preserve">Strong demand for adaptive reuse projects in historic districts like The Distillery District</w:t>
      </w:r>
    </w:p>
    <w:p>
      <w:pPr>
        <w:pStyle w:val="FirstParagraph"/>
      </w:pPr>
      <w:r>
        <w:t xml:space="preserve">This Marketing Plan acknowledges Toronto's specific regulatory environment, climate challenges (freeze-thaw cycles), and cultural preferences that differentiate our approach from national competitors.</w:t>
      </w:r>
    </w:p>
    <w:bookmarkEnd w:id="21"/>
    <w:bookmarkStart w:id="22" w:name="unique-value-proposition"/>
    <w:p>
      <w:pPr>
        <w:pStyle w:val="Heading2"/>
      </w:pPr>
      <w:r>
        <w:t xml:space="preserve">Unique Value Proposition</w:t>
      </w:r>
    </w:p>
    <w:p>
      <w:pPr>
        <w:pStyle w:val="FirstParagraph"/>
      </w:pPr>
      <w:r>
        <w:t xml:space="preserve">We position ourselves as a Toronto-centric Architect firm specializing in contextually sensitive design that respects the city's architectural heritage while embracing future-forward sustainability. Unlike national firms, we leverage:</w:t>
      </w:r>
    </w:p>
    <w:p>
      <w:pPr>
        <w:numPr>
          <w:ilvl w:val="0"/>
          <w:numId w:val="1002"/>
        </w:numPr>
        <w:pStyle w:val="Compact"/>
      </w:pPr>
      <w:r>
        <w:t xml:space="preserve">On-the-ground Toronto expertise: Our team includes licensed Architects with 10+ years' experience navigating City of Toronto planning departments</w:t>
      </w:r>
    </w:p>
    <w:p>
      <w:pPr>
        <w:numPr>
          <w:ilvl w:val="0"/>
          <w:numId w:val="1002"/>
        </w:numPr>
        <w:pStyle w:val="Compact"/>
      </w:pPr>
      <w:r>
        <w:t xml:space="preserve">Local material partnerships: Relationships with Ontario-based suppliers (e.g., Canadian Forest Products Ltd.) ensuring sustainable sourcing</w:t>
      </w:r>
    </w:p>
    <w:p>
      <w:pPr>
        <w:numPr>
          <w:ilvl w:val="0"/>
          <w:numId w:val="1002"/>
        </w:numPr>
        <w:pStyle w:val="Compact"/>
      </w:pPr>
      <w:r>
        <w:t xml:space="preserve">Neighbourhood-specific design protocols: Tailored solutions for distinct Toronto districts (e.g., mid-rise approvals in Yorkville vs. high-rises in Downtown)</w:t>
      </w:r>
    </w:p>
    <w:p>
      <w:pPr>
        <w:pStyle w:val="FirstParagraph"/>
      </w:pPr>
      <w:r>
        <w:t xml:space="preserve">This local mastery forms the core of our Marketing Plan, differentiating us from generic Canadian architectural practices.</w:t>
      </w:r>
    </w:p>
    <w:bookmarkEnd w:id="22"/>
    <w:bookmarkStart w:id="23" w:name="target-audience-segmentation"/>
    <w:p>
      <w:pPr>
        <w:pStyle w:val="Heading2"/>
      </w:pPr>
      <w:r>
        <w:t xml:space="preserve">Target Audience Segmentation</w:t>
      </w:r>
    </w:p>
    <w:p>
      <w:pPr>
        <w:pStyle w:val="FirstParagraph"/>
      </w:pPr>
      <w:r>
        <w:t xml:space="preserve">We've identified three priority segments within Canada Toronto:</w:t>
      </w:r>
    </w:p>
    <w:p>
      <w:pPr>
        <w:numPr>
          <w:ilvl w:val="0"/>
          <w:numId w:val="1003"/>
        </w:numPr>
        <w:pStyle w:val="Compact"/>
      </w:pPr>
      <w:r>
        <w:rPr>
          <w:bCs/>
          <w:b/>
        </w:rPr>
        <w:t xml:space="preserve">High-Net-Worth Residential Clients</w:t>
      </w:r>
      <w:r>
        <w:t xml:space="preserve">: Affluent homeowners in Rosedale and Forest Hill seeking custom luxury renovations (15% of our target)</w:t>
      </w:r>
    </w:p>
    <w:p>
      <w:pPr>
        <w:numPr>
          <w:ilvl w:val="0"/>
          <w:numId w:val="1003"/>
        </w:numPr>
        <w:pStyle w:val="Compact"/>
      </w:pPr>
      <w:r>
        <w:rPr>
          <w:bCs/>
          <w:b/>
        </w:rPr>
        <w:t xml:space="preserve">Commercial Developers</w:t>
      </w:r>
      <w:r>
        <w:t xml:space="preserve">: Mid-sized firms targeting mixed-use projects in emerging corridors like Eglinton East (45% of focus)</w:t>
      </w:r>
    </w:p>
    <w:p>
      <w:pPr>
        <w:numPr>
          <w:ilvl w:val="0"/>
          <w:numId w:val="1003"/>
        </w:numPr>
        <w:pStyle w:val="Compact"/>
      </w:pPr>
      <w:r>
        <w:rPr>
          <w:bCs/>
          <w:b/>
        </w:rPr>
        <w:t xml:space="preserve">City-Sponsored Projects</w:t>
      </w:r>
      <w:r>
        <w:t xml:space="preserve">: Government contracts for public infrastructure under Toronto's 20-Year Infrastructure Plan (40% strategic focus)</w:t>
      </w:r>
    </w:p>
    <w:p>
      <w:pPr>
        <w:pStyle w:val="FirstParagraph"/>
      </w:pPr>
      <w:r>
        <w:t xml:space="preserve">Our Marketing Plan incorporates Toronto-specific messaging for each segment, such as emphasizing flood mitigation in East Toronto neighborhoods or heritage compliance in St. James-Bond.</w:t>
      </w:r>
    </w:p>
    <w:bookmarkEnd w:id="23"/>
    <w:bookmarkStart w:id="24" w:name="marketing-strategies-tactics"/>
    <w:p>
      <w:pPr>
        <w:pStyle w:val="Heading2"/>
      </w:pPr>
      <w:r>
        <w:t xml:space="preserve">Marketing Strategies &amp; Tactics</w:t>
      </w:r>
    </w:p>
    <w:p>
      <w:pPr>
        <w:pStyle w:val="FirstParagraph"/>
      </w:pPr>
      <w:r>
        <w:t xml:space="preserve">This Marketing Plan implements a multi-channel approach calibrated for Toronto's media landscape:</w:t>
      </w:r>
      <w:r>
        <w:t xml:space="preserve"> </w:t>
      </w:r>
      <w:r>
        <w:rPr>
          <w:bCs/>
          <w:b/>
        </w:rPr>
        <w:t xml:space="preserve">Hyper-Local Digital Presence:</w:t>
      </w:r>
      <w:r>
        <w:t xml:space="preserve"> </w:t>
      </w:r>
      <w:r>
        <w:t xml:space="preserve">- Develop Toronto-specific landing pages (e.g., "Architect Services in Downtown Toronto") targeting local SEO keywords</w:t>
      </w:r>
      <w:r>
        <w:t xml:space="preserve"> </w:t>
      </w:r>
      <w:r>
        <w:t xml:space="preserve">- Partner with Toronto-based platforms like UrbanToronto for sponsored content</w:t>
      </w:r>
      <w:r>
        <w:t xml:space="preserve"> </w:t>
      </w:r>
      <w:r>
        <w:t xml:space="preserve">- Run geo-fenced Facebook/Instagram campaigns targeting 5km radius around key neighborhoods</w:t>
      </w:r>
      <w:r>
        <w:t xml:space="preserve"> </w:t>
      </w:r>
      <w:r>
        <w:rPr>
          <w:bCs/>
          <w:b/>
        </w:rPr>
        <w:t xml:space="preserve">Community Engagement:</w:t>
      </w:r>
      <w:r>
        <w:t xml:space="preserve"> </w:t>
      </w:r>
      <w:r>
        <w:t xml:space="preserve">- Sponsor Toronto Architecture Week events (annual citywide festival)</w:t>
      </w:r>
      <w:r>
        <w:t xml:space="preserve"> </w:t>
      </w:r>
      <w:r>
        <w:t xml:space="preserve">- Host free workshops at St. Lawrence Market on "Sustainable Living in Toronto Homes"</w:t>
      </w:r>
      <w:r>
        <w:t xml:space="preserve"> </w:t>
      </w:r>
      <w:r>
        <w:t xml:space="preserve">- Become a member of the Ontario Association of Architects with active participation in Toronto chapter meetings</w:t>
      </w:r>
      <w:r>
        <w:t xml:space="preserve"> </w:t>
      </w:r>
      <w:r>
        <w:rPr>
          <w:bCs/>
          <w:b/>
        </w:rPr>
        <w:t xml:space="preserve">Content Marketing for Canada Context:</w:t>
      </w:r>
      <w:r>
        <w:t xml:space="preserve"> </w:t>
      </w:r>
      <w:r>
        <w:t xml:space="preserve">- Publish whitepapers addressing Toronto-specific challenges: "Navigating Zoning bylaws in the 2024 City Plan"</w:t>
      </w:r>
      <w:r>
        <w:t xml:space="preserve"> </w:t>
      </w:r>
      <w:r>
        <w:t xml:space="preserve">- Create video content showcasing completed projects within Canada Toronto (e.g., "The Impact of Climate-Resilient Design in Scarborough")</w:t>
      </w:r>
      <w:r>
        <w:t xml:space="preserve"> </w:t>
      </w:r>
      <w:r>
        <w:rPr>
          <w:bCs/>
          <w:b/>
        </w:rPr>
        <w:t xml:space="preserve">Strategic Partnerships:</w:t>
      </w:r>
      <w:r>
        <w:t xml:space="preserve"> </w:t>
      </w:r>
      <w:r>
        <w:t xml:space="preserve">- Collaborate with Toronto real estate agents for referral programs</w:t>
      </w:r>
      <w:r>
        <w:t xml:space="preserve"> </w:t>
      </w:r>
      <w:r>
        <w:t xml:space="preserve">- Forge alliances with sustainable construction firms like BuildToronto</w:t>
      </w:r>
      <w:r>
        <w:t xml:space="preserve"> </w:t>
      </w:r>
      <w:r>
        <w:t xml:space="preserve">- Joint ventures with local interior designers specializing in Toronto's architectural styles</w:t>
      </w:r>
    </w:p>
    <w:bookmarkEnd w:id="24"/>
    <w:bookmarkStart w:id="25" w:name="implementation-timeline"/>
    <w:p>
      <w:pPr>
        <w:pStyle w:val="Heading2"/>
      </w:pPr>
      <w:r>
        <w:t xml:space="preserve">Implementation Timeline</w:t>
      </w:r>
    </w:p>
    <w:p>
      <w:pPr>
        <w:pStyle w:val="FirstParagraph"/>
      </w:pPr>
      <w:r>
        <w:t xml:space="preserve">This Marketing Plan executes over 18 months with quarterly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Toronto-specific website, secure Ontario Association of Architects membership, initiate geo-targeted social campaigns</w:t>
            </w:r>
          </w:p>
        </w:tc>
      </w:tr>
      <w:tr>
        <w:tc>
          <w:tcPr/>
          <w:p>
            <w:pPr>
              <w:pStyle w:val="Compact"/>
              <w:jc w:val="left"/>
            </w:pPr>
            <w:r>
              <w:t xml:space="preserve">Q2 2024</w:t>
            </w:r>
          </w:p>
        </w:tc>
        <w:tc>
          <w:tcPr/>
          <w:p>
            <w:pPr>
              <w:pStyle w:val="Compact"/>
              <w:jc w:val="left"/>
            </w:pPr>
            <w:r>
              <w:t xml:space="preserve">Sponsor Toronto Architecture Week event, publish first neighbourhood-focused whitepaper ("Designing for Toronto's Climate"), begin real estate agent partnerships</w:t>
            </w:r>
          </w:p>
        </w:tc>
      </w:tr>
      <w:tr>
        <w:tc>
          <w:tcPr/>
          <w:p>
            <w:pPr>
              <w:pStyle w:val="Compact"/>
              <w:jc w:val="left"/>
            </w:pPr>
            <w:r>
              <w:t xml:space="preserve">Q3 2024</w:t>
            </w:r>
          </w:p>
        </w:tc>
        <w:tc>
          <w:tcPr/>
          <w:p>
            <w:pPr>
              <w:pStyle w:val="Compact"/>
              <w:jc w:val="left"/>
            </w:pPr>
            <w:r>
              <w:t xml:space="preserve">Host first community workshop at St. Lawrence Market, launch referral program with 5 key Toronto agents, publish "City-Approved Sustainable Materials Guide"</w:t>
            </w:r>
          </w:p>
        </w:tc>
      </w:tr>
      <w:tr>
        <w:tc>
          <w:tcPr/>
          <w:p>
            <w:pPr>
              <w:pStyle w:val="Compact"/>
              <w:jc w:val="left"/>
            </w:pPr>
            <w:r>
              <w:t xml:space="preserve">Q4 2024</w:t>
            </w:r>
          </w:p>
        </w:tc>
        <w:tc>
          <w:tcPr/>
          <w:p>
            <w:pPr>
              <w:pStyle w:val="Compact"/>
              <w:jc w:val="left"/>
            </w:pPr>
            <w:r>
              <w:t xml:space="preserve">Analyze KPIs, refine Toronto-specific messaging based on campaign data, secure first city-sponsored project through RFP</w:t>
            </w:r>
          </w:p>
        </w:tc>
      </w:tr>
    </w:tbl>
    <w:bookmarkEnd w:id="25"/>
    <w:bookmarkStart w:id="26" w:name="budget-allocation"/>
    <w:p>
      <w:pPr>
        <w:pStyle w:val="Heading2"/>
      </w:pPr>
      <w:r>
        <w:t xml:space="preserve">Budget Allocation</w:t>
      </w:r>
    </w:p>
    <w:p>
      <w:pPr>
        <w:pStyle w:val="FirstParagraph"/>
      </w:pPr>
      <w:r>
        <w:t xml:space="preserve">The total Marketing Plan budget is $85,000 for Year 1, allocated as follows:</w:t>
      </w:r>
    </w:p>
    <w:p>
      <w:pPr>
        <w:numPr>
          <w:ilvl w:val="0"/>
          <w:numId w:val="1004"/>
        </w:numPr>
        <w:pStyle w:val="Compact"/>
      </w:pPr>
      <w:r>
        <w:t xml:space="preserve">Digital Marketing (45%): $38,250 - Toronto-specific SEO, geo-targeted ads, content creation</w:t>
      </w:r>
    </w:p>
    <w:p>
      <w:pPr>
        <w:numPr>
          <w:ilvl w:val="0"/>
          <w:numId w:val="1004"/>
        </w:numPr>
        <w:pStyle w:val="Compact"/>
      </w:pPr>
      <w:r>
        <w:t xml:space="preserve">Community Engagement (30%): $25,500 - Event sponsorships, workshop costs, partnership development</w:t>
      </w:r>
    </w:p>
    <w:p>
      <w:pPr>
        <w:numPr>
          <w:ilvl w:val="0"/>
          <w:numId w:val="1004"/>
        </w:numPr>
        <w:pStyle w:val="Compact"/>
      </w:pPr>
      <w:r>
        <w:t xml:space="preserve">Content Production (15%): $12,750 - Whitepapers, video production showcasing Toronto projects</w:t>
      </w:r>
    </w:p>
    <w:p>
      <w:pPr>
        <w:numPr>
          <w:ilvl w:val="0"/>
          <w:numId w:val="1004"/>
        </w:numPr>
        <w:pStyle w:val="Compact"/>
      </w:pPr>
      <w:r>
        <w:t xml:space="preserve">Analytics &amp; Optimization (10%): $8,500 - Marketing automation tools tracking Toronto-specific metrics</w:t>
      </w:r>
    </w:p>
    <w:p>
      <w:pPr>
        <w:pStyle w:val="FirstParagraph"/>
      </w:pPr>
      <w:r>
        <w:t xml:space="preserve">All expenses align with the Canada Toronto market reality – avoiding national campaign costs while maximizing local ROI.</w:t>
      </w:r>
    </w:p>
    <w:bookmarkEnd w:id="26"/>
    <w:bookmarkStart w:id="27" w:name="key-performance-indicators"/>
    <w:p>
      <w:pPr>
        <w:pStyle w:val="Heading2"/>
      </w:pPr>
      <w:r>
        <w:t xml:space="preserve">Key Performance Indicators</w:t>
      </w:r>
    </w:p>
    <w:p>
      <w:pPr>
        <w:pStyle w:val="FirstParagraph"/>
      </w:pPr>
      <w:r>
        <w:t xml:space="preserve">We measure success through Toronto-focused KPIs:</w:t>
      </w:r>
    </w:p>
    <w:p>
      <w:pPr>
        <w:numPr>
          <w:ilvl w:val="0"/>
          <w:numId w:val="1005"/>
        </w:numPr>
        <w:pStyle w:val="Compact"/>
      </w:pPr>
      <w:r>
        <w:rPr>
          <w:bCs/>
          <w:b/>
        </w:rPr>
        <w:t xml:space="preserve">Lead Generation:</w:t>
      </w:r>
      <w:r>
        <w:t xml:space="preserve"> </w:t>
      </w:r>
      <w:r>
        <w:t xml:space="preserve">60% of qualified leads originating from Toronto geo-targeting within 18 months</w:t>
      </w:r>
    </w:p>
    <w:p>
      <w:pPr>
        <w:numPr>
          <w:ilvl w:val="0"/>
          <w:numId w:val="1005"/>
        </w:numPr>
        <w:pStyle w:val="Compact"/>
      </w:pPr>
      <w:r>
        <w:rPr>
          <w:bCs/>
          <w:b/>
        </w:rPr>
        <w:t xml:space="preserve">Conversion Rate:</w:t>
      </w:r>
      <w:r>
        <w:t xml:space="preserve"> </w:t>
      </w:r>
      <w:r>
        <w:t xml:space="preserve">Achieve 35% lead-to-client conversion (above Toronto market average of 28%)</w:t>
      </w:r>
    </w:p>
    <w:p>
      <w:pPr>
        <w:numPr>
          <w:ilvl w:val="0"/>
          <w:numId w:val="1005"/>
        </w:numPr>
        <w:pStyle w:val="Compact"/>
      </w:pPr>
      <w:r>
        <w:rPr>
          <w:bCs/>
          <w:b/>
        </w:rPr>
        <w:t xml:space="preserve">Brand Awareness:</w:t>
      </w:r>
      <w:r>
        <w:t xml:space="preserve"> </w:t>
      </w:r>
      <w:r>
        <w:t xml:space="preserve">Increase local recognition by 40% in Toronto as measured by SurveyMonkey community polls</w:t>
      </w:r>
    </w:p>
    <w:p>
      <w:pPr>
        <w:numPr>
          <w:ilvl w:val="0"/>
          <w:numId w:val="1005"/>
        </w:numPr>
        <w:pStyle w:val="Compact"/>
      </w:pPr>
      <w:r>
        <w:rPr>
          <w:bCs/>
          <w:b/>
        </w:rPr>
        <w:t xml:space="preserve">Sustainable Practice:</w:t>
      </w:r>
      <w:r>
        <w:t xml:space="preserve"> </w:t>
      </w:r>
      <w:r>
        <w:t xml:space="preserve">Secure at least 3 LEED-certified projects through Canada Toronto's green building initiatives within Year 1</w:t>
      </w:r>
    </w:p>
    <w:p>
      <w:pPr>
        <w:pStyle w:val="FirstParagraph"/>
      </w:pPr>
      <w:r>
        <w:t xml:space="preserve">These KPIs directly tie to our Marketing Plan's success in positioning the Architect as a Toronto market leader.</w:t>
      </w:r>
    </w:p>
    <w:bookmarkEnd w:id="27"/>
    <w:bookmarkStart w:id="28" w:name="conclusion"/>
    <w:p>
      <w:pPr>
        <w:pStyle w:val="Heading2"/>
      </w:pPr>
      <w:r>
        <w:t xml:space="preserve">Conclusion</w:t>
      </w:r>
    </w:p>
    <w:p>
      <w:pPr>
        <w:pStyle w:val="FirstParagraph"/>
      </w:pPr>
      <w:r>
        <w:t xml:space="preserve">This Marketing Plan establishes a clear roadmap for an Architect practice to thrive within Canada Toronto's dynamic built environment. By embedding local expertise into every strategy—from Toronto-specific digital campaigns to neighbourhood-focused community engagement—we transform generic architectural services into indispensable solutions for the city's unique challenges. The plan acknowledges that in Canada's largest metropolitan market, success demands more than just design excellence; it requires deep cultural and regulatory understanding that only a Toronto-centered Architect can provide. With this Marketing Plan, we commit to becoming synonymous with innovative, responsible architecture in the heart of Canada Toronto.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Canada Toronto</dc:title>
  <dc:creator/>
  <dc:language>en</dc:language>
  <cp:keywords/>
  <dcterms:created xsi:type="dcterms:W3CDTF">2026-07-20T01:29:00Z</dcterms:created>
  <dcterms:modified xsi:type="dcterms:W3CDTF">2026-07-20T01:29:00Z</dcterms:modified>
</cp:coreProperties>
</file>

<file path=docProps/custom.xml><?xml version="1.0" encoding="utf-8"?>
<Properties xmlns="http://schemas.openxmlformats.org/officeDocument/2006/custom-properties" xmlns:vt="http://schemas.openxmlformats.org/officeDocument/2006/docPropsVTypes"/>
</file>