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6" w:name="X67084a1c936b58337429fd228c142e3c8688c1b"/>
    <w:p>
      <w:pPr>
        <w:pStyle w:val="Heading1"/>
      </w:pPr>
      <w:r>
        <w:t xml:space="preserve">Marketing Plan: Elevating Architect Excellence in China Guangzhou</w:t>
      </w:r>
    </w:p>
    <w:p>
      <w:pPr>
        <w:pStyle w:val="FirstParagraph"/>
      </w:pPr>
      <w:r>
        <w:t xml:space="preserve">This comprehensive Marketing Plan outlines a strategic roadmap for establishing and scaling premium architectural services within the dynamic urban landscape of China Guangzhou. As one of Asia's most rapidly evolving metropolises, Guangzhou demands innovative, culturally attuned Architect solutions that align with both modern development ambitions and local heritage. This plan positions our firm as the indispensable Partner for visionary Architecture across Guangzhou's commercial, residential, and cultural sectors.</w:t>
      </w:r>
    </w:p>
    <w:bookmarkStart w:id="20" w:name="X4b96c92899a6e67f749f02353ae606f72dec9a1"/>
    <w:p>
      <w:pPr>
        <w:pStyle w:val="Heading2"/>
      </w:pPr>
      <w:r>
        <w:t xml:space="preserve">Market Analysis: The Guangzhou Opportunity</w:t>
      </w:r>
    </w:p>
    <w:p>
      <w:pPr>
        <w:pStyle w:val="FirstParagraph"/>
      </w:pPr>
      <w:r>
        <w:t xml:space="preserve">China Guangzhou stands at the epicenter of southern China's economic revolution. With its strategic location in the Pearl River Delta, rapid urbanization (projected 60% city density by 2030), and ambitious infrastructure projects like the Nansha Port expansion and Guangzhou Metro Line 18, demand for forward-thinking Architect expertise has never been higher. The city's unique blend of traditional Cantonese aesthetics, modern high-rise development, and stringent sustainability mandates (aligned with China's "Dual Carbon" goals) creates a specialized market requiring deep local insight. Current challenges include fragmented client expectations, complex municipal approval processes, and a growing preference for firms that understand Guangzhou’s socio-cultural fabric. This Marketing Plan directly addresses these gaps through an Architect-centric approach tailored to Guangzhou's ecosystem.</w:t>
      </w:r>
    </w:p>
    <w:bookmarkEnd w:id="20"/>
    <w:bookmarkStart w:id="21" w:name="X21c950e04addd0843509f1489646543cae429c9"/>
    <w:p>
      <w:pPr>
        <w:pStyle w:val="Heading2"/>
      </w:pPr>
      <w:r>
        <w:t xml:space="preserve">Target Audience: Defining the Guangzhou Client</w:t>
      </w:r>
    </w:p>
    <w:p>
      <w:pPr>
        <w:pStyle w:val="FirstParagraph"/>
      </w:pPr>
      <w:r>
        <w:t xml:space="preserve">Our primary focus targets high-value clients in China Guangzhou with specific needs:</w:t>
      </w:r>
    </w:p>
    <w:p>
      <w:pPr>
        <w:numPr>
          <w:ilvl w:val="0"/>
          <w:numId w:val="1001"/>
        </w:numPr>
        <w:pStyle w:val="Compact"/>
      </w:pPr>
      <w:r>
        <w:rPr>
          <w:bCs/>
          <w:b/>
        </w:rPr>
        <w:t xml:space="preserve">Commercial Developers:</w:t>
      </w:r>
      <w:r>
        <w:t xml:space="preserve"> </w:t>
      </w:r>
      <w:r>
        <w:t xml:space="preserve">Companies like China Resources Land and Vanke seeking to differentiate flagship projects (e.g., office towers, mixed-use complexes) in Guangzhou’s CBD districts.</w:t>
      </w:r>
    </w:p>
    <w:p>
      <w:pPr>
        <w:numPr>
          <w:ilvl w:val="0"/>
          <w:numId w:val="1001"/>
        </w:numPr>
        <w:pStyle w:val="Compact"/>
      </w:pPr>
      <w:r>
        <w:rPr>
          <w:bCs/>
          <w:b/>
        </w:rPr>
        <w:t xml:space="preserve">Cultural Institutions:</w:t>
      </w:r>
      <w:r>
        <w:t xml:space="preserve"> </w:t>
      </w:r>
      <w:r>
        <w:t xml:space="preserve">Museums, theaters, and heritage sites requiring Architect solutions that harmonize modern functionality with Cantonese cultural identity (e.g., adapting the Guangdong Museum’s aesthetic for new expansions).</w:t>
      </w:r>
    </w:p>
    <w:p>
      <w:pPr>
        <w:numPr>
          <w:ilvl w:val="0"/>
          <w:numId w:val="1001"/>
        </w:numPr>
        <w:pStyle w:val="Compact"/>
      </w:pPr>
      <w:r>
        <w:rPr>
          <w:bCs/>
          <w:b/>
        </w:rPr>
        <w:t xml:space="preserve">Sustainable Urban Developers:</w:t>
      </w:r>
      <w:r>
        <w:t xml:space="preserve"> </w:t>
      </w:r>
      <w:r>
        <w:t xml:space="preserve">Clients prioritizing LEED/China Green Building Standards compliance in Guangzhou’s new eco-cities like Nansha.</w:t>
      </w:r>
    </w:p>
    <w:p>
      <w:pPr>
        <w:pStyle w:val="FirstParagraph"/>
      </w:pPr>
      <w:r>
        <w:t xml:space="preserve">This Marketing Plan identifies these segments as ideal for our Architect-led value proposition, emphasizing local regulatory knowledge and contextual design expertise unique to China Guangzhou.</w:t>
      </w:r>
    </w:p>
    <w:bookmarkEnd w:id="21"/>
    <w:bookmarkStart w:id="22" w:name="X350967fa4450c5e408362eabcc3f3a6eff266ce"/>
    <w:p>
      <w:pPr>
        <w:pStyle w:val="Heading2"/>
      </w:pPr>
      <w:r>
        <w:t xml:space="preserve">Core Strategy: The Architect Advantage in Guangzhou</w:t>
      </w:r>
    </w:p>
    <w:p>
      <w:pPr>
        <w:pStyle w:val="FirstParagraph"/>
      </w:pPr>
      <w:r>
        <w:t xml:space="preserve">Our strategy pivots on three pillars, all anchored by the critical role of the</w:t>
      </w:r>
      <w:r>
        <w:t xml:space="preserve"> </w:t>
      </w:r>
      <w:r>
        <w:rPr>
          <w:bCs/>
          <w:b/>
        </w:rPr>
        <w:t xml:space="preserve">Architect</w:t>
      </w:r>
      <w:r>
        <w:t xml:space="preserve">:</w:t>
      </w:r>
    </w:p>
    <w:p>
      <w:pPr>
        <w:numPr>
          <w:ilvl w:val="0"/>
          <w:numId w:val="1002"/>
        </w:numPr>
        <w:pStyle w:val="Compact"/>
      </w:pPr>
      <w:r>
        <w:rPr>
          <w:bCs/>
          <w:b/>
        </w:rPr>
        <w:t xml:space="preserve">Cultural Intelligence Integration:</w:t>
      </w:r>
      <w:r>
        <w:t xml:space="preserve"> </w:t>
      </w:r>
      <w:r>
        <w:t xml:space="preserve">Embedding Guangzhou-specific cultural narratives into every project. Our Architect team undergoes mandatory training in Cantonese architectural history and community engagement protocols to ensure designs resonate locally. This isn’t just "design"—it’s Architect-led cultural translation for Guangzhou.</w:t>
      </w:r>
    </w:p>
    <w:p>
      <w:pPr>
        <w:numPr>
          <w:ilvl w:val="0"/>
          <w:numId w:val="1002"/>
        </w:numPr>
        <w:pStyle w:val="Compact"/>
      </w:pPr>
      <w:r>
        <w:rPr>
          <w:bCs/>
          <w:b/>
        </w:rPr>
        <w:t xml:space="preserve">Regulatory Navigation as a Service:</w:t>
      </w:r>
      <w:r>
        <w:t xml:space="preserve"> </w:t>
      </w:r>
      <w:r>
        <w:t xml:space="preserve">Partnering with Guangzhou municipal planning authorities to streamline approvals. Our</w:t>
      </w:r>
      <w:r>
        <w:t xml:space="preserve"> </w:t>
      </w:r>
      <w:r>
        <w:rPr>
          <w:bCs/>
          <w:b/>
        </w:rPr>
        <w:t xml:space="preserve">Architect</w:t>
      </w:r>
      <w:r>
        <w:t xml:space="preserve">-led team will develop proprietary compliance guides for Guangzhou’s zoning laws, reducing project delays by 30%—a key selling point in our Marketing Plan.</w:t>
      </w:r>
    </w:p>
    <w:p>
      <w:pPr>
        <w:numPr>
          <w:ilvl w:val="0"/>
          <w:numId w:val="1002"/>
        </w:numPr>
        <w:pStyle w:val="Compact"/>
      </w:pPr>
      <w:r>
        <w:rPr>
          <w:bCs/>
          <w:b/>
        </w:rPr>
        <w:t xml:space="preserve">Sustainability as a Differentiator:</w:t>
      </w:r>
      <w:r>
        <w:t xml:space="preserve"> </w:t>
      </w:r>
      <w:r>
        <w:t xml:space="preserve">Aligning with Guangzhou’s 2025 Green City targets. Our</w:t>
      </w:r>
      <w:r>
        <w:t xml:space="preserve"> </w:t>
      </w:r>
      <w:r>
        <w:rPr>
          <w:bCs/>
          <w:b/>
        </w:rPr>
        <w:t xml:space="preserve">Architect</w:t>
      </w:r>
      <w:r>
        <w:t xml:space="preserve"> </w:t>
      </w:r>
      <w:r>
        <w:t xml:space="preserve">team pioneers passive cooling systems using local materials (e.g., bamboo composites), directly addressing Guangzhou’s humid climate and positioning us as the eco-conscious Partner in China.</w:t>
      </w:r>
    </w:p>
    <w:bookmarkEnd w:id="22"/>
    <w:bookmarkStart w:id="23" w:name="X985f3768dc8f59ee044a62a9010be671eac9a68"/>
    <w:p>
      <w:pPr>
        <w:pStyle w:val="Heading2"/>
      </w:pPr>
      <w:r>
        <w:t xml:space="preserve">Tactical Execution: Marketing Plan for Guangzhou</w:t>
      </w:r>
    </w:p>
    <w:p>
      <w:pPr>
        <w:pStyle w:val="FirstParagraph"/>
      </w:pPr>
      <w:r>
        <w:t xml:space="preserve">This Marketing Plan employs hyper-localized channels to reach Guangzhou decision-makers:</w:t>
      </w:r>
    </w:p>
    <w:p>
      <w:pPr>
        <w:numPr>
          <w:ilvl w:val="0"/>
          <w:numId w:val="1003"/>
        </w:numPr>
        <w:pStyle w:val="Compact"/>
      </w:pPr>
      <w:r>
        <w:rPr>
          <w:bCs/>
          <w:b/>
        </w:rPr>
        <w:t xml:space="preserve">Guangzhou-Specific Digital Campaigns:</w:t>
      </w:r>
      <w:r>
        <w:t xml:space="preserve"> </w:t>
      </w:r>
      <w:r>
        <w:t xml:space="preserve">Targeted LinkedIn/WeChat ads showcasing completed projects in key Guangzhou districts (e.g., Tianhe CBD, Haizhu). Content highlights how our Architect transformed sites like the Liwan District revitalization.</w:t>
      </w:r>
    </w:p>
    <w:p>
      <w:pPr>
        <w:numPr>
          <w:ilvl w:val="0"/>
          <w:numId w:val="1003"/>
        </w:numPr>
        <w:pStyle w:val="Compact"/>
      </w:pPr>
      <w:r>
        <w:rPr>
          <w:bCs/>
          <w:b/>
        </w:rPr>
        <w:t xml:space="preserve">Strategic Guangzhou Partnerships:</w:t>
      </w:r>
      <w:r>
        <w:t xml:space="preserve"> </w:t>
      </w:r>
      <w:r>
        <w:t xml:space="preserve">Collaborating with established local firms (e.g., Guangzhou Municipal Design Institute) for joint bids on municipal projects. This leverages guanxi (relationships)—essential in China business—and positions our Architect as a trusted advisor, not just a vendor.</w:t>
      </w:r>
    </w:p>
    <w:p>
      <w:pPr>
        <w:numPr>
          <w:ilvl w:val="0"/>
          <w:numId w:val="1003"/>
        </w:numPr>
        <w:pStyle w:val="Compact"/>
      </w:pPr>
      <w:r>
        <w:rPr>
          <w:bCs/>
          <w:b/>
        </w:rPr>
        <w:t xml:space="preserve">Guangzhou Community Events:</w:t>
      </w:r>
      <w:r>
        <w:t xml:space="preserve"> </w:t>
      </w:r>
      <w:r>
        <w:t xml:space="preserve">Hosting "Design Dialogues" at venues like Canton Tower, featuring our Architect discussing Guangzhou’s architectural evolution. These events build credibility and directly engage the city’s professional community.</w:t>
      </w:r>
    </w:p>
    <w:p>
      <w:pPr>
        <w:numPr>
          <w:ilvl w:val="0"/>
          <w:numId w:val="1003"/>
        </w:numPr>
        <w:pStyle w:val="Compact"/>
      </w:pPr>
      <w:r>
        <w:rPr>
          <w:bCs/>
          <w:b/>
        </w:rPr>
        <w:t xml:space="preserve">Localized Case Studies:</w:t>
      </w:r>
      <w:r>
        <w:t xml:space="preserve"> </w:t>
      </w:r>
      <w:r>
        <w:t xml:space="preserve">Publishing detailed reports on projects in China Guangzhou (e.g., "How Our Architect Delivered a 40% Energy Reduction for Shenzhen Bay Project, Now Applied in Guangzhou"). These demonstrate tangible results within Guangzhou’s context.</w:t>
      </w:r>
    </w:p>
    <w:bookmarkEnd w:id="23"/>
    <w:bookmarkStart w:id="24" w:name="performance-metrics-timeline"/>
    <w:p>
      <w:pPr>
        <w:pStyle w:val="Heading2"/>
      </w:pPr>
      <w:r>
        <w:t xml:space="preserve">Performance Metrics &amp; Timeline</w:t>
      </w:r>
    </w:p>
    <w:p>
      <w:pPr>
        <w:pStyle w:val="FirstParagraph"/>
      </w:pPr>
      <w:r>
        <w:t xml:space="preserve">This Marketing Plan defines success through Guangzhou-specific KPIs:</w:t>
      </w:r>
    </w:p>
    <w:p>
      <w:pPr>
        <w:numPr>
          <w:ilvl w:val="0"/>
          <w:numId w:val="1004"/>
        </w:numPr>
        <w:pStyle w:val="Compact"/>
      </w:pPr>
      <w:r>
        <w:rPr>
          <w:bCs/>
          <w:b/>
        </w:rPr>
        <w:t xml:space="preserve">Short-term (0-6 months):</w:t>
      </w:r>
      <w:r>
        <w:t xml:space="preserve"> </w:t>
      </w:r>
      <w:r>
        <w:t xml:space="preserve">Secure 3 high-profile Guangzhou client contracts; achieve 40% brand recognition among top 50 Guangzhou developers.</w:t>
      </w:r>
    </w:p>
    <w:p>
      <w:pPr>
        <w:numPr>
          <w:ilvl w:val="0"/>
          <w:numId w:val="1004"/>
        </w:numPr>
        <w:pStyle w:val="Compact"/>
      </w:pPr>
      <w:r>
        <w:rPr>
          <w:bCs/>
          <w:b/>
        </w:rPr>
        <w:t xml:space="preserve">Mid-term (6-18 months):</w:t>
      </w:r>
      <w:r>
        <w:t xml:space="preserve"> </w:t>
      </w:r>
      <w:r>
        <w:t xml:space="preserve">Capture 25% market share in sustainable commercial architecture within China Guangzhou; generate $2M in Architect service revenue.</w:t>
      </w:r>
    </w:p>
    <w:p>
      <w:pPr>
        <w:numPr>
          <w:ilvl w:val="0"/>
          <w:numId w:val="1004"/>
        </w:numPr>
        <w:pStyle w:val="Compact"/>
      </w:pPr>
      <w:r>
        <w:rPr>
          <w:bCs/>
          <w:b/>
        </w:rPr>
        <w:t xml:space="preserve">Long-term (18-36 months):</w:t>
      </w:r>
      <w:r>
        <w:t xml:space="preserve"> </w:t>
      </w:r>
      <w:r>
        <w:t xml:space="preserve">Establish as the preferred</w:t>
      </w:r>
      <w:r>
        <w:t xml:space="preserve"> </w:t>
      </w:r>
      <w:r>
        <w:rPr>
          <w:bCs/>
          <w:b/>
        </w:rPr>
        <w:t xml:space="preserve">Architect</w:t>
      </w:r>
      <w:r>
        <w:t xml:space="preserve"> </w:t>
      </w:r>
      <w:r>
        <w:t xml:space="preserve">partner for all major municipal projects in Guangzhou, influencing city planning standards.</w:t>
      </w:r>
    </w:p>
    <w:p>
      <w:pPr>
        <w:pStyle w:val="FirstParagraph"/>
      </w:pPr>
      <w:r>
        <w:t xml:space="preserve">Monthly reviews will track Guangzhou-specific engagement metrics (e.g., WeChat inquiries from Guangzhou IP addresses, event attendance from local firms), ensuring our Marketing Plan remains agile for China’s dynamic market.</w:t>
      </w:r>
    </w:p>
    <w:bookmarkEnd w:id="24"/>
    <w:bookmarkStart w:id="25" w:name="X2d628403714571373b81dfe874ccda9a59c1a79"/>
    <w:p>
      <w:pPr>
        <w:pStyle w:val="Heading2"/>
      </w:pPr>
      <w:r>
        <w:t xml:space="preserve">Conclusion: Architecting Guangzhou’s Future</w:t>
      </w:r>
    </w:p>
    <w:p>
      <w:pPr>
        <w:pStyle w:val="FirstParagraph"/>
      </w:pPr>
      <w:r>
        <w:t xml:space="preserve">This Marketing Plan transcends generic advertising. It is a strategic commitment to becoming synonymous with excellence in the</w:t>
      </w:r>
      <w:r>
        <w:t xml:space="preserve"> </w:t>
      </w:r>
      <w:r>
        <w:rPr>
          <w:bCs/>
          <w:b/>
        </w:rPr>
        <w:t xml:space="preserve">Architect</w:t>
      </w:r>
      <w:r>
        <w:t xml:space="preserve"> </w:t>
      </w:r>
      <w:r>
        <w:t xml:space="preserve">profession within China Guangzhou. By embedding cultural nuance, regulatory mastery, and sustainability into every service—and relentlessly focusing on the city’s unique needs—we position our firm not merely as an Architect provider, but as a catalyst for Guangzhou’s architectural evolution. The success of this Marketing Plan hinges on the undeniable value our</w:t>
      </w:r>
      <w:r>
        <w:t xml:space="preserve"> </w:t>
      </w:r>
      <w:r>
        <w:rPr>
          <w:bCs/>
          <w:b/>
        </w:rPr>
        <w:t xml:space="preserve">Architect</w:t>
      </w:r>
      <w:r>
        <w:t xml:space="preserve"> </w:t>
      </w:r>
      <w:r>
        <w:t xml:space="preserve">team delivers to clients navigating Guangzhou’s complex, vibrant urban future. This is more than a plan—it is the blueprint for leading Architect innovation in one of Asia’s most pivotal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China Guangzhou</dc:title>
  <dc:creator/>
  <dc:language>en</dc:language>
  <cp:keywords/>
  <dcterms:created xsi:type="dcterms:W3CDTF">2026-07-21T13:39:48Z</dcterms:created>
  <dcterms:modified xsi:type="dcterms:W3CDTF">2026-07-21T13:39:48Z</dcterms:modified>
</cp:coreProperties>
</file>

<file path=docProps/custom.xml><?xml version="1.0" encoding="utf-8"?>
<Properties xmlns="http://schemas.openxmlformats.org/officeDocument/2006/custom-properties" xmlns:vt="http://schemas.openxmlformats.org/officeDocument/2006/docPropsVTypes"/>
</file>