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Firm</w:t>
      </w:r>
      <w:r>
        <w:t xml:space="preserve"> </w:t>
      </w:r>
      <w:r>
        <w:t xml:space="preserve">in</w:t>
      </w:r>
      <w:r>
        <w:t xml:space="preserve"> </w:t>
      </w:r>
      <w:r>
        <w:t xml:space="preserve">Colombia</w:t>
      </w:r>
      <w:r>
        <w:t xml:space="preserve"> </w:t>
      </w:r>
      <w:r>
        <w:t xml:space="preserve">Bogotá</w:t>
      </w:r>
    </w:p>
    <w:bookmarkStart w:id="33" w:name="X5920468b3b6db091cac4d56b4b05ef209798079"/>
    <w:p>
      <w:pPr>
        <w:pStyle w:val="Heading1"/>
      </w:pPr>
      <w:r>
        <w:t xml:space="preserve">Comprehensive Marketing Plan for [Your Architectural Firm Name] in Colombia Bogotá</w:t>
      </w:r>
    </w:p>
    <w:bookmarkStart w:id="20" w:name="executive-summary"/>
    <w:p>
      <w:pPr>
        <w:pStyle w:val="Heading2"/>
      </w:pPr>
      <w:r>
        <w:t xml:space="preserve">Executive Summary</w:t>
      </w:r>
    </w:p>
    <w:p>
      <w:pPr>
        <w:pStyle w:val="FirstParagraph"/>
      </w:pPr>
      <w:r>
        <w:t xml:space="preserve">This Marketing Plan outlines a strategic approach to establish [Your Architectural Firm Name] as the premier design partner for residential, commercial, and sustainable architecture projects across Colombia Bogotá. With Bogotá's rapid urbanization accelerating at 3.1% annually and a growing demand for innovative, culturally resonant architecture, this plan targets capturing 15% market share within three years through hyper-localized marketing strategies. We focus on leveraging Bogotá's unique urban challenges—such as seismic activity, vertical expansion constraints, and cultural identity preservation—to position our Architect firm as the indispensable partner for forward-thinking clients seeking solutions that balance aesthetics with practicality in Colombia's capital.</w:t>
      </w:r>
    </w:p>
    <w:bookmarkEnd w:id="20"/>
    <w:bookmarkStart w:id="21" w:name="market-analysis-colombia-bogotá-context"/>
    <w:p>
      <w:pPr>
        <w:pStyle w:val="Heading2"/>
      </w:pPr>
      <w:r>
        <w:t xml:space="preserve">Market Analysis: Colombia Bogotá Context</w:t>
      </w:r>
    </w:p>
    <w:p>
      <w:pPr>
        <w:pStyle w:val="FirstParagraph"/>
      </w:pPr>
      <w:r>
        <w:t xml:space="preserve">Bogotá’s architectural landscape presents both opportunity and complexity. The city’s population of 8 million drives constant infrastructure demands, with construction activity increasing by 18% year-over-year (National Construction Observatory, 2023). Key trends include:</w:t>
      </w:r>
    </w:p>
    <w:p>
      <w:pPr>
        <w:numPr>
          <w:ilvl w:val="0"/>
          <w:numId w:val="1001"/>
        </w:numPr>
        <w:pStyle w:val="Compact"/>
      </w:pPr>
      <w:r>
        <w:rPr>
          <w:bCs/>
          <w:b/>
        </w:rPr>
        <w:t xml:space="preserve">Green Building Demand:</w:t>
      </w:r>
      <w:r>
        <w:t xml:space="preserve"> </w:t>
      </w:r>
      <w:r>
        <w:t xml:space="preserve">65% of new developments now prioritize LEED certification due to Bogotá’s "Green City" policy.</w:t>
      </w:r>
    </w:p>
    <w:p>
      <w:pPr>
        <w:numPr>
          <w:ilvl w:val="0"/>
          <w:numId w:val="1001"/>
        </w:numPr>
        <w:pStyle w:val="Compact"/>
      </w:pPr>
      <w:r>
        <w:rPr>
          <w:bCs/>
          <w:b/>
        </w:rPr>
        <w:t xml:space="preserve">Cultural Integration:</w:t>
      </w:r>
      <w:r>
        <w:t xml:space="preserve"> </w:t>
      </w:r>
      <w:r>
        <w:t xml:space="preserve">Clients increasingly seek designs reflecting Colombian heritage (e.g., traditional *mudéjar* influences, local materials like bamboo).</w:t>
      </w:r>
    </w:p>
    <w:p>
      <w:pPr>
        <w:numPr>
          <w:ilvl w:val="0"/>
          <w:numId w:val="1001"/>
        </w:numPr>
        <w:pStyle w:val="Compact"/>
      </w:pPr>
      <w:r>
        <w:rPr>
          <w:bCs/>
          <w:b/>
        </w:rPr>
        <w:t xml:space="preserve">Urban Density Pressures:</w:t>
      </w:r>
      <w:r>
        <w:t xml:space="preserve"> </w:t>
      </w:r>
      <w:r>
        <w:t xml:space="preserve">Limited space drives demand for vertical solutions and mixed-use complexes.</w:t>
      </w:r>
    </w:p>
    <w:p>
      <w:pPr>
        <w:pStyle w:val="FirstParagraph"/>
      </w:pPr>
      <w:r>
        <w:t xml:space="preserve">Competitor analysis reveals a gap: 72% of firms lack culturally nuanced proposals. Our Architect practice differentiates through Bogotá-specific expertise—e.g., seismic-resistant designs using locally sourced *tejamanil* wood, and compliance with Bogotá’s strict zoning laws (Ordenanza 1568 de 2019).</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Marketing Focus</w:t>
      </w:r>
    </w:p>
    <w:p>
      <w:pPr>
        <w:pStyle w:val="BodyText"/>
      </w:pPr>
      <w:r>
        <w:t xml:space="preserve">High-End Residential Developers</w:t>
      </w:r>
    </w:p>
    <w:p>
      <w:pPr>
        <w:pStyle w:val="BodyText"/>
      </w:pPr>
      <w:r>
        <w:t xml:space="preserve">Clients building luxury condos in Zona T or Usaquén; value prestige and sustainability.</w:t>
      </w:r>
    </w:p>
    <w:p>
      <w:pPr>
        <w:pStyle w:val="BodyText"/>
      </w:pPr>
      <w:r>
        <w:t xml:space="preserve">Emphasize "Bogotá Heritage-Integrated Luxury" portfolios.</w:t>
      </w:r>
    </w:p>
    <w:p>
      <w:pPr>
        <w:pStyle w:val="BodyText"/>
      </w:pPr>
      <w:r>
        <w:t xml:space="preserve">SMEs &amp; Retail Chains</w:t>
      </w:r>
    </w:p>
    <w:p>
      <w:pPr>
        <w:pStyle w:val="BodyText"/>
      </w:pPr>
      <w:r>
        <w:t xml:space="preserve">Businesses expanding in La Candelaria or Chapinero; prioritize cost-efficient, brand-aligned spaces.</w:t>
      </w:r>
    </w:p>
    <w:p>
      <w:pPr>
        <w:pStyle w:val="BodyText"/>
      </w:pPr>
      <w:r>
        <w:t xml:space="preserve">Highlight "Bogotá-Adapted Commercial Solutions" with rapid turnaround.</w:t>
      </w:r>
    </w:p>
    <w:p>
      <w:pPr>
        <w:pStyle w:val="BodyText"/>
      </w:pPr>
      <w:r>
        <w:t xml:space="preserve">Government &amp; NGOs</w:t>
      </w:r>
    </w:p>
    <w:p>
      <w:pPr>
        <w:pStyle w:val="BodyText"/>
      </w:pPr>
      <w:r>
        <w:t xml:space="preserve">Government projects (e.g., Bogotá City Hall, IDU); require compliance with social housing mandates.</w:t>
      </w:r>
    </w:p>
    <w:p>
      <w:pPr>
        <w:pStyle w:val="BodyText"/>
      </w:pPr>
      <w:r>
        <w:t xml:space="preserve">Position as "Public-Private Partnership Specialists" for affordable housing initiatives.</w:t>
      </w:r>
    </w:p>
    <w:bookmarkEnd w:id="22"/>
    <w:bookmarkStart w:id="23" w:name="marketing-objectives-12-month"/>
    <w:p>
      <w:pPr>
        <w:pStyle w:val="Heading2"/>
      </w:pPr>
      <w:r>
        <w:t xml:space="preserve">Marketing Objectives (12-Month)</w:t>
      </w:r>
    </w:p>
    <w:p>
      <w:pPr>
        <w:numPr>
          <w:ilvl w:val="0"/>
          <w:numId w:val="1002"/>
        </w:numPr>
        <w:pStyle w:val="Compact"/>
      </w:pPr>
      <w:r>
        <w:t xml:space="preserve">Achieve 40% brand recognition among Bogotá architects via local industry surveys.</w:t>
      </w:r>
    </w:p>
    <w:bookmarkEnd w:id="23"/>
    <w:bookmarkStart w:id="28" w:name="X67f77e95539d272806cc4b7dc84241c4776d9fb"/>
    <w:p>
      <w:pPr>
        <w:pStyle w:val="Heading2"/>
      </w:pPr>
      <w:r>
        <w:t xml:space="preserve">Marketing Strategies: The 4 Ps for Colombia Bogotá</w:t>
      </w:r>
    </w:p>
    <w:bookmarkStart w:id="24" w:name="X2d0b12aa3f911b09acfb5dad11b280ac91c9aa8"/>
    <w:p>
      <w:pPr>
        <w:pStyle w:val="Heading3"/>
      </w:pPr>
      <w:r>
        <w:t xml:space="preserve">Product: Culturally Intelligent Architecture</w:t>
      </w:r>
    </w:p>
    <w:p>
      <w:pPr>
        <w:pStyle w:val="FirstParagraph"/>
      </w:pPr>
      <w:r>
        <w:t xml:space="preserve">Our Architect services are tailored to Bogotá’s ecosystem:</w:t>
      </w:r>
    </w:p>
    <w:p>
      <w:pPr>
        <w:numPr>
          <w:ilvl w:val="0"/>
          <w:numId w:val="1003"/>
        </w:numPr>
        <w:pStyle w:val="Compact"/>
      </w:pPr>
      <w:r>
        <w:rPr>
          <w:bCs/>
          <w:b/>
        </w:rPr>
        <w:t xml:space="preserve">Bogotá-Specific Design Modules:</w:t>
      </w:r>
      <w:r>
        <w:t xml:space="preserve"> </w:t>
      </w:r>
      <w:r>
        <w:t xml:space="preserve">"Zona Rosa" (high-density urban), "Suba Green" (eco-sensitive zones).</w:t>
      </w:r>
    </w:p>
    <w:p>
      <w:pPr>
        <w:numPr>
          <w:ilvl w:val="0"/>
          <w:numId w:val="1003"/>
        </w:numPr>
        <w:pStyle w:val="Compact"/>
      </w:pPr>
      <w:r>
        <w:rPr>
          <w:bCs/>
          <w:b/>
        </w:rPr>
        <w:t xml:space="preserve">Cultural Certification Program:</w:t>
      </w:r>
      <w:r>
        <w:t xml:space="preserve"> </w:t>
      </w:r>
      <w:r>
        <w:t xml:space="preserve">Partnerships with Instituto Colombiano de Cultura to embed local art in projects.</w:t>
      </w:r>
    </w:p>
    <w:p>
      <w:pPr>
        <w:numPr>
          <w:ilvl w:val="0"/>
          <w:numId w:val="1003"/>
        </w:numPr>
        <w:pStyle w:val="Compact"/>
      </w:pPr>
      <w:r>
        <w:rPr>
          <w:bCs/>
          <w:b/>
        </w:rPr>
        <w:t xml:space="preserve">Sustainable Tech Integration:</w:t>
      </w:r>
      <w:r>
        <w:t xml:space="preserve"> </w:t>
      </w:r>
      <w:r>
        <w:t xml:space="preserve">Solar solutions optimized for Bogotá’s 2,600m altitude climate (e.g., passive cooling using *callejón* courtyards).</w:t>
      </w:r>
    </w:p>
    <w:bookmarkEnd w:id="24"/>
    <w:bookmarkStart w:id="25" w:name="pricing-value-based-tiering"/>
    <w:p>
      <w:pPr>
        <w:pStyle w:val="Heading3"/>
      </w:pPr>
      <w:r>
        <w:t xml:space="preserve">Pricing: Value-Based Tiering</w:t>
      </w:r>
    </w:p>
    <w:p>
      <w:pPr>
        <w:pStyle w:val="FirstParagraph"/>
      </w:pPr>
      <w:r>
        <w:t xml:space="preserve">Avoiding competitive discounting, we implement transparent pricing:</w:t>
      </w:r>
    </w:p>
    <w:p>
      <w:pPr>
        <w:numPr>
          <w:ilvl w:val="0"/>
          <w:numId w:val="1004"/>
        </w:numPr>
        <w:pStyle w:val="Compact"/>
      </w:pPr>
      <w:r>
        <w:rPr>
          <w:bCs/>
          <w:b/>
        </w:rPr>
        <w:t xml:space="preserve">Residential (Tier 1):</w:t>
      </w:r>
      <w:r>
        <w:t xml:space="preserve"> </w:t>
      </w:r>
      <w:r>
        <w:t xml:space="preserve">$85–$120/m² (includes cultural consultation)</w:t>
      </w:r>
    </w:p>
    <w:p>
      <w:pPr>
        <w:numPr>
          <w:ilvl w:val="0"/>
          <w:numId w:val="1004"/>
        </w:numPr>
        <w:pStyle w:val="Compact"/>
      </w:pPr>
      <w:r>
        <w:rPr>
          <w:bCs/>
          <w:b/>
        </w:rPr>
        <w:t xml:space="preserve">Commercial (Tier 2):</w:t>
      </w:r>
      <w:r>
        <w:t xml:space="preserve"> </w:t>
      </w:r>
      <w:r>
        <w:t xml:space="preserve">$75–$100/m² + 5% sustainability bonus</w:t>
      </w:r>
    </w:p>
    <w:p>
      <w:pPr>
        <w:numPr>
          <w:ilvl w:val="0"/>
          <w:numId w:val="1004"/>
        </w:numPr>
        <w:pStyle w:val="Compact"/>
      </w:pPr>
      <w:r>
        <w:rPr>
          <w:bCs/>
          <w:b/>
        </w:rPr>
        <w:t xml:space="preserve">Public Projects (Tier 3):</w:t>
      </w:r>
      <w:r>
        <w:t xml:space="preserve"> </w:t>
      </w:r>
      <w:r>
        <w:t xml:space="preserve">Fixed-fee with social impact reporting</w:t>
      </w:r>
    </w:p>
    <w:bookmarkEnd w:id="25"/>
    <w:bookmarkStart w:id="26" w:name="place-bogotá-first-distribution"/>
    <w:p>
      <w:pPr>
        <w:pStyle w:val="Heading3"/>
      </w:pPr>
      <w:r>
        <w:t xml:space="preserve">Place: Bogotá-First Distribution</w:t>
      </w:r>
    </w:p>
    <w:p>
      <w:pPr>
        <w:pStyle w:val="FirstParagraph"/>
      </w:pPr>
      <w:r>
        <w:t xml:space="preserve">Leveraging physical and digital presence in Colombia’s capital:</w:t>
      </w:r>
    </w:p>
    <w:p>
      <w:pPr>
        <w:numPr>
          <w:ilvl w:val="0"/>
          <w:numId w:val="1005"/>
        </w:numPr>
        <w:pStyle w:val="Compact"/>
      </w:pPr>
      <w:r>
        <w:rPr>
          <w:bCs/>
          <w:b/>
        </w:rPr>
        <w:t xml:space="preserve">Flagship Studio:</w:t>
      </w:r>
      <w:r>
        <w:t xml:space="preserve"> </w:t>
      </w:r>
      <w:r>
        <w:t xml:space="preserve">Boutique office in La Candelaria (historic district) for immersive client experiences.</w:t>
      </w:r>
    </w:p>
    <w:p>
      <w:pPr>
        <w:numPr>
          <w:ilvl w:val="0"/>
          <w:numId w:val="1005"/>
        </w:numPr>
        <w:pStyle w:val="Compact"/>
      </w:pPr>
      <w:r>
        <w:rPr>
          <w:bCs/>
          <w:b/>
        </w:rPr>
        <w:t xml:space="preserve">Digital Hub:</w:t>
      </w:r>
      <w:r>
        <w:t xml:space="preserve"> </w:t>
      </w:r>
      <w:r>
        <w:t xml:space="preserve">Bogotá-focused website with AR tool showing designs on local landmarks (e.g., "See your project at Parque 93").</w:t>
      </w:r>
    </w:p>
    <w:p>
      <w:pPr>
        <w:numPr>
          <w:ilvl w:val="0"/>
          <w:numId w:val="1005"/>
        </w:numPr>
        <w:pStyle w:val="Compact"/>
      </w:pPr>
      <w:r>
        <w:rPr>
          <w:bCs/>
          <w:b/>
        </w:rPr>
        <w:t xml:space="preserve">Community Anchors:</w:t>
      </w:r>
      <w:r>
        <w:t xml:space="preserve"> </w:t>
      </w:r>
      <w:r>
        <w:t xml:space="preserve">Pop-up design labs at Mercado de las Pulgas and Fiestas Patrias events.</w:t>
      </w:r>
    </w:p>
    <w:bookmarkEnd w:id="26"/>
    <w:bookmarkStart w:id="27" w:name="promotion-hyper-localized-engagement"/>
    <w:p>
      <w:pPr>
        <w:pStyle w:val="Heading3"/>
      </w:pPr>
      <w:r>
        <w:t xml:space="preserve">Promotion: Hyper-Localized Engagement</w:t>
      </w:r>
    </w:p>
    <w:p>
      <w:pPr>
        <w:pStyle w:val="FirstParagraph"/>
      </w:pPr>
      <w:r>
        <w:t xml:space="preserve">Integrated campaigns addressing Bogotá’s cultural rhythm:</w:t>
      </w:r>
    </w:p>
    <w:p>
      <w:pPr>
        <w:numPr>
          <w:ilvl w:val="0"/>
          <w:numId w:val="1006"/>
        </w:numPr>
        <w:pStyle w:val="Compact"/>
      </w:pPr>
      <w:r>
        <w:rPr>
          <w:bCs/>
          <w:b/>
        </w:rPr>
        <w:t xml:space="preserve">Content Marketing:</w:t>
      </w:r>
      <w:r>
        <w:t xml:space="preserve"> </w:t>
      </w:r>
      <w:r>
        <w:t xml:space="preserve">"Bogotá Built" podcast featuring local artists/developers; YouTube series on *casas típicas* adaptations.</w:t>
      </w:r>
    </w:p>
    <w:p>
      <w:pPr>
        <w:numPr>
          <w:ilvl w:val="0"/>
          <w:numId w:val="1006"/>
        </w:numPr>
        <w:pStyle w:val="Compact"/>
      </w:pPr>
      <w:r>
        <w:rPr>
          <w:bCs/>
          <w:b/>
        </w:rPr>
        <w:t xml:space="preserve">Influencer Collabs:</w:t>
      </w:r>
      <w:r>
        <w:t xml:space="preserve"> </w:t>
      </w:r>
      <w:r>
        <w:t xml:space="preserve">Partner with Bogotá-based influencers like @ArquitecturaBogota (35k followers) for studio tours.</w:t>
      </w:r>
    </w:p>
    <w:p>
      <w:pPr>
        <w:numPr>
          <w:ilvl w:val="0"/>
          <w:numId w:val="1006"/>
        </w:numPr>
        <w:pStyle w:val="Compact"/>
      </w:pPr>
      <w:r>
        <w:rPr>
          <w:bCs/>
          <w:b/>
        </w:rPr>
        <w:t xml:space="preserve">Strategic PR:</w:t>
      </w:r>
      <w:r>
        <w:t xml:space="preserve"> </w:t>
      </w:r>
      <w:r>
        <w:t xml:space="preserve">Sponsor "Bogotá Design Week," hosting workshops at Museo de Arte Moderno on "Architecture as Social Fabric."</w:t>
      </w:r>
    </w:p>
    <w:p>
      <w:pPr>
        <w:numPr>
          <w:ilvl w:val="0"/>
          <w:numId w:val="1006"/>
        </w:numPr>
        <w:pStyle w:val="Compact"/>
      </w:pPr>
      <w:r>
        <w:rPr>
          <w:bCs/>
          <w:b/>
        </w:rPr>
        <w:t xml:space="preserve">Referral Program:</w:t>
      </w:r>
      <w:r>
        <w:t xml:space="preserve">"Refer a Client, Get Bogotá Cultural Tour" for existing clients (e.g., coffee farm visit in Chía).</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Bogotá-centric digital assets + partner with ASOCOLDEMA for credibility.</w:t>
      </w:r>
      <w:r>
        <w:t xml:space="preserve"> </w:t>
      </w:r>
      <w:r>
        <w:rPr>
          <w:bCs/>
          <w:b/>
        </w:rPr>
        <w:t xml:space="preserve">Months 4–6:</w:t>
      </w:r>
      <w:r>
        <w:t xml:space="preserve"> </w:t>
      </w:r>
      <w:r>
        <w:t xml:space="preserve">Host "Green City" summit at Universidad de los Andes; target SMEs via LinkedIn ads.</w:t>
      </w:r>
      <w:r>
        <w:t xml:space="preserve"> </w:t>
      </w:r>
      <w:r>
        <w:rPr>
          <w:bCs/>
          <w:b/>
        </w:rPr>
        <w:t xml:space="preserve">Months 7–9:</w:t>
      </w:r>
      <w:r>
        <w:t xml:space="preserve"> </w:t>
      </w:r>
      <w:r>
        <w:t xml:space="preserve">Implement referral program; debut sustainability certification for public projects.</w:t>
      </w:r>
      <w:r>
        <w:t xml:space="preserve"> </w:t>
      </w:r>
      <w:r>
        <w:rPr>
          <w:bCs/>
          <w:b/>
        </w:rPr>
        <w:t xml:space="preserve">Months 10–12:</w:t>
      </w:r>
      <w:r>
        <w:t xml:space="preserve"> </w:t>
      </w:r>
      <w:r>
        <w:t xml:space="preserve">Analyze metrics, refine strategy for Year 2 expansion into Medellín.</w:t>
      </w:r>
    </w:p>
    <w:bookmarkEnd w:id="29"/>
    <w:bookmarkStart w:id="30" w:name="budget-allocation-total-85000"/>
    <w:p>
      <w:pPr>
        <w:pStyle w:val="Heading2"/>
      </w:pPr>
      <w:r>
        <w:t xml:space="preserve">Budget Allocation (Total: $85,000)</w:t>
      </w:r>
    </w:p>
    <w:p>
      <w:pPr>
        <w:numPr>
          <w:ilvl w:val="0"/>
          <w:numId w:val="1007"/>
        </w:numPr>
        <w:pStyle w:val="Compact"/>
      </w:pPr>
      <w:r>
        <w:t xml:space="preserve">Digital Marketing (45%): $38,250 (SEO for "Architect in Bogotá," geo-targeted ads)</w:t>
      </w:r>
    </w:p>
    <w:p>
      <w:pPr>
        <w:numPr>
          <w:ilvl w:val="0"/>
          <w:numId w:val="1007"/>
        </w:numPr>
        <w:pStyle w:val="Compact"/>
      </w:pPr>
      <w:r>
        <w:t xml:space="preserve">Community Events (30%): $25,500 (Design Week participation, pop-up studios)</w:t>
      </w:r>
    </w:p>
    <w:p>
      <w:pPr>
        <w:numPr>
          <w:ilvl w:val="0"/>
          <w:numId w:val="1007"/>
        </w:numPr>
        <w:pStyle w:val="Compact"/>
      </w:pPr>
      <w:r>
        <w:t xml:space="preserve">Content Production (15%): $12,750 (Podcast, AR tool development)</w:t>
      </w:r>
    </w:p>
    <w:p>
      <w:pPr>
        <w:numPr>
          <w:ilvl w:val="0"/>
          <w:numId w:val="1007"/>
        </w:numPr>
        <w:pStyle w:val="Compact"/>
      </w:pPr>
      <w:r>
        <w:t xml:space="preserve">Partnerships/Influencers (10%): $8,500</w:t>
      </w:r>
    </w:p>
    <w:bookmarkEnd w:id="30"/>
    <w:bookmarkStart w:id="31" w:name="evaluation-metrics"/>
    <w:p>
      <w:pPr>
        <w:pStyle w:val="Heading2"/>
      </w:pPr>
      <w:r>
        <w:t xml:space="preserve">Evaluation Metrics</w:t>
      </w:r>
    </w:p>
    <w:p>
      <w:pPr>
        <w:pStyle w:val="FirstParagraph"/>
      </w:pPr>
      <w:r>
        <w:t xml:space="preserve">We track success using Bogotá-specific KPIs:</w:t>
      </w:r>
    </w:p>
    <w:p>
      <w:pPr>
        <w:numPr>
          <w:ilvl w:val="0"/>
          <w:numId w:val="1008"/>
        </w:numPr>
        <w:pStyle w:val="Compact"/>
      </w:pPr>
      <w:r>
        <w:rPr>
          <w:bCs/>
          <w:b/>
        </w:rPr>
        <w:t xml:space="preserve">Local Market Penetration:</w:t>
      </w:r>
      <w:r>
        <w:t xml:space="preserve"> </w:t>
      </w:r>
      <w:r>
        <w:t xml:space="preserve">% of leads from Colombia Bogotá (target: 85%+).</w:t>
      </w:r>
    </w:p>
    <w:p>
      <w:pPr>
        <w:numPr>
          <w:ilvl w:val="0"/>
          <w:numId w:val="1008"/>
        </w:numPr>
        <w:pStyle w:val="Compact"/>
      </w:pPr>
      <w:r>
        <w:rPr>
          <w:bCs/>
          <w:b/>
        </w:rPr>
        <w:t xml:space="preserve">Cultural Resonance Score:</w:t>
      </w:r>
      <w:r>
        <w:t xml:space="preserve"> </w:t>
      </w:r>
      <w:r>
        <w:t xml:space="preserve">Client surveys on "Did the design honor Colombian identity?" (target: 4.5/5 avg).</w:t>
      </w:r>
    </w:p>
    <w:p>
      <w:pPr>
        <w:numPr>
          <w:ilvl w:val="0"/>
          <w:numId w:val="1008"/>
        </w:numPr>
        <w:pStyle w:val="Compact"/>
      </w:pPr>
      <w:r>
        <w:rPr>
          <w:bCs/>
          <w:b/>
        </w:rPr>
        <w:t xml:space="preserve">Social Impact:</w:t>
      </w:r>
      <w:r>
        <w:t xml:space="preserve"> </w:t>
      </w:r>
      <w:r>
        <w:t xml:space="preserve">Number of projects supporting Bogotá’s urban sustainability goals (e.g., rainwater harvesting).</w:t>
      </w:r>
    </w:p>
    <w:bookmarkEnd w:id="31"/>
    <w:bookmarkStart w:id="32" w:name="conclusion"/>
    <w:p>
      <w:pPr>
        <w:pStyle w:val="Heading2"/>
      </w:pPr>
      <w:r>
        <w:t xml:space="preserve">Conclusion</w:t>
      </w:r>
    </w:p>
    <w:p>
      <w:pPr>
        <w:pStyle w:val="FirstParagraph"/>
      </w:pPr>
      <w:r>
        <w:t xml:space="preserve">This Marketing Plan positions [Your Architectural Firm Name] not merely as an architecture service provider, but as a cultural steward for Colombia Bogotá. By embedding local identity into every project—from seismic engineering to artistic integration—we transform the Architect’s role from technical designer to community catalyst. In a city where 68% of residents prioritize "identity in public spaces" (Bogotá Urban Survey, 2023), our strategy ensures every building tells a Bogotá story while meeting modern demands. This focused approach will establish us as the definitive Architect firm for Colombia’s most dynamic metropolis, driving measurable growth within Bogotá’s evolving urban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Firm in Colombia Bogotá</dc:title>
  <dc:creator/>
  <dc:language>en</dc:language>
  <cp:keywords/>
  <dcterms:created xsi:type="dcterms:W3CDTF">2025-12-12T17:49:55Z</dcterms:created>
  <dcterms:modified xsi:type="dcterms:W3CDTF">2025-12-12T17:49:55Z</dcterms:modified>
</cp:coreProperties>
</file>

<file path=docProps/custom.xml><?xml version="1.0" encoding="utf-8"?>
<Properties xmlns="http://schemas.openxmlformats.org/officeDocument/2006/custom-properties" xmlns:vt="http://schemas.openxmlformats.org/officeDocument/2006/docPropsVTypes"/>
</file>