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92ce8a8005f7d09581274c8a5a197467f952d08"/>
    <w:p>
      <w:pPr>
        <w:pStyle w:val="Heading1"/>
      </w:pPr>
      <w:r>
        <w:t xml:space="preserve">Comprehensive Marketing Plan: Elevating Architectural Excellence in Egypt Cairo</w:t>
      </w:r>
    </w:p>
    <w:bookmarkStart w:id="20" w:name="executive-summary"/>
    <w:p>
      <w:pPr>
        <w:pStyle w:val="Heading2"/>
      </w:pPr>
      <w:r>
        <w:t xml:space="preserve">Executive Summary</w:t>
      </w:r>
    </w:p>
    <w:p>
      <w:pPr>
        <w:pStyle w:val="FirstParagraph"/>
      </w:pPr>
      <w:r>
        <w:t xml:space="preserve">This Marketing Plan outlines a targeted strategy to establish and grow our premium Architect services within the dynamic urban landscape of Egypt Cairo. Recognizing Cairo’s unique architectural challenges—rapid urbanization, cultural heritage preservation, and evolving client expectations—we position our Architect as a visionary partner. This plan leverages local insights to deliver exceptional design solutions while building trust with key stakeholders across Egypt’s most populous city. The primary goal is to achieve 40% market share among mid-to-high-end residential projects in Cairo within three years through culturally attuned marketing and service differentiation.</w:t>
      </w:r>
    </w:p>
    <w:bookmarkEnd w:id="20"/>
    <w:bookmarkStart w:id="21" w:name="market-analysis-egypt-cairo-context"/>
    <w:p>
      <w:pPr>
        <w:pStyle w:val="Heading2"/>
      </w:pPr>
      <w:r>
        <w:t xml:space="preserve">Market Analysis: Egypt Cairo Context</w:t>
      </w:r>
    </w:p>
    <w:p>
      <w:pPr>
        <w:pStyle w:val="FirstParagraph"/>
      </w:pPr>
      <w:r>
        <w:t xml:space="preserve">Cairo, as the cultural and economic epicenter of Egypt, presents a complex yet rewarding market for Architect services. The city’s population exceeds 20 million, driving relentless demand for innovative residential, commercial, and adaptive reuse projects. Key trends include:</w:t>
      </w:r>
    </w:p>
    <w:p>
      <w:pPr>
        <w:numPr>
          <w:ilvl w:val="0"/>
          <w:numId w:val="1001"/>
        </w:numPr>
        <w:pStyle w:val="Compact"/>
      </w:pPr>
      <w:r>
        <w:rPr>
          <w:bCs/>
          <w:b/>
        </w:rPr>
        <w:t xml:space="preserve">Heritage Integration:</w:t>
      </w:r>
      <w:r>
        <w:t xml:space="preserve"> </w:t>
      </w:r>
      <w:r>
        <w:t xml:space="preserve">Increasing client interest in blending modern design with Cairo’s Islamic and Coptic architectural legacy (e.g., projects in Downtown or Islamic Cairo).</w:t>
      </w:r>
    </w:p>
    <w:p>
      <w:pPr>
        <w:numPr>
          <w:ilvl w:val="0"/>
          <w:numId w:val="1001"/>
        </w:numPr>
        <w:pStyle w:val="Compact"/>
      </w:pPr>
      <w:r>
        <w:rPr>
          <w:bCs/>
          <w:b/>
        </w:rPr>
        <w:t xml:space="preserve">Sustainable Urbanization:</w:t>
      </w:r>
      <w:r>
        <w:t xml:space="preserve"> </w:t>
      </w:r>
      <w:r>
        <w:t xml:space="preserve">Egypt’s new Green Building Code mandates energy-efficient designs, creating demand for Architects skilled in passive cooling and local materials.</w:t>
      </w:r>
    </w:p>
    <w:p>
      <w:pPr>
        <w:numPr>
          <w:ilvl w:val="0"/>
          <w:numId w:val="1001"/>
        </w:numPr>
        <w:pStyle w:val="Compact"/>
      </w:pPr>
      <w:r>
        <w:rPr>
          <w:bCs/>
          <w:b/>
        </w:rPr>
        <w:t xml:space="preserve">Urban Expansion:</w:t>
      </w:r>
      <w:r>
        <w:t xml:space="preserve"> </w:t>
      </w:r>
      <w:r>
        <w:t xml:space="preserve">Growth corridors like New Cairo and 6th of October City require forward-thinking Architect services addressing infrastructure, density, and livability.</w:t>
      </w:r>
    </w:p>
    <w:p>
      <w:pPr>
        <w:pStyle w:val="FirstParagraph"/>
      </w:pPr>
      <w:r>
        <w:t xml:space="preserve">The competitive landscape includes international firms with high fees but limited local nuance, and local practices often lacking digital innovation. Our Architect fills this gap by merging global best practices with deep Cairo-specific knowledge—understanding Nile-facing orientations, wind patterns, and municipal approval processes unique to Egypt.</w:t>
      </w:r>
    </w:p>
    <w:bookmarkEnd w:id="21"/>
    <w:bookmarkStart w:id="22" w:name="target-audience-cairo-specific-segments"/>
    <w:p>
      <w:pPr>
        <w:pStyle w:val="Heading2"/>
      </w:pPr>
      <w:r>
        <w:t xml:space="preserve">Target Audience: Cairo-Specific Segments</w:t>
      </w:r>
    </w:p>
    <w:p>
      <w:pPr>
        <w:pStyle w:val="FirstParagraph"/>
      </w:pPr>
      <w:r>
        <w:t xml:space="preserve">We focus on three high-potential segments within Egypt’s Cairo market:</w:t>
      </w:r>
    </w:p>
    <w:p>
      <w:pPr>
        <w:numPr>
          <w:ilvl w:val="0"/>
          <w:numId w:val="1002"/>
        </w:numPr>
        <w:pStyle w:val="Compact"/>
      </w:pPr>
      <w:r>
        <w:rPr>
          <w:bCs/>
          <w:b/>
        </w:rPr>
        <w:t xml:space="preserve">High-Net-Worth Individuals (HNWIs):</w:t>
      </w:r>
      <w:r>
        <w:t xml:space="preserve"> </w:t>
      </w:r>
      <w:r>
        <w:t xml:space="preserve">Clients in Zamalek, Maadi, or New Cairo seeking bespoke luxury villas. They prioritize privacy, cultural resonance, and seamless project management amid Cairo’s bureaucratic hurdles.</w:t>
      </w:r>
    </w:p>
    <w:p>
      <w:pPr>
        <w:numPr>
          <w:ilvl w:val="0"/>
          <w:numId w:val="1002"/>
        </w:numPr>
        <w:pStyle w:val="Compact"/>
      </w:pPr>
      <w:r>
        <w:rPr>
          <w:bCs/>
          <w:b/>
        </w:rPr>
        <w:t xml:space="preserve">Real Estate Developers:</w:t>
      </w:r>
      <w:r>
        <w:t xml:space="preserve"> </w:t>
      </w:r>
      <w:r>
        <w:t xml:space="preserve">Companies like Emaar Misr or SODIC requiring scalable design solutions for large-scale communities (e.g., The Grand Egyptian Museum vicinity projects).</w:t>
      </w:r>
    </w:p>
    <w:p>
      <w:pPr>
        <w:numPr>
          <w:ilvl w:val="0"/>
          <w:numId w:val="1002"/>
        </w:numPr>
        <w:pStyle w:val="Compact"/>
      </w:pPr>
      <w:r>
        <w:rPr>
          <w:bCs/>
          <w:b/>
        </w:rPr>
        <w:t xml:space="preserve">Cultural Institutions:</w:t>
      </w:r>
      <w:r>
        <w:t xml:space="preserve"> </w:t>
      </w:r>
      <w:r>
        <w:t xml:space="preserve">NGOs and government bodies managing heritage sites needing Architect expertise for restoration (e.g., Al-Azhar University projects or historic mosques in Islamic Cairo).</w:t>
      </w:r>
    </w:p>
    <w:bookmarkEnd w:id="22"/>
    <w:bookmarkStart w:id="23" w:name="Xa8baf662c681d8c38ae801f56444b2a93c0a530"/>
    <w:p>
      <w:pPr>
        <w:pStyle w:val="Heading2"/>
      </w:pPr>
      <w:r>
        <w:t xml:space="preserve">Service Differentiation: Why Our Architect Stands Out</w:t>
      </w:r>
    </w:p>
    <w:p>
      <w:pPr>
        <w:pStyle w:val="FirstParagraph"/>
      </w:pPr>
      <w:r>
        <w:t xml:space="preserve">Beyond technical skills, our Architect delivers unparalleled value through:</w:t>
      </w:r>
    </w:p>
    <w:p>
      <w:pPr>
        <w:numPr>
          <w:ilvl w:val="0"/>
          <w:numId w:val="1003"/>
        </w:numPr>
        <w:pStyle w:val="Compact"/>
      </w:pPr>
      <w:r>
        <w:rPr>
          <w:bCs/>
          <w:b/>
        </w:rPr>
        <w:t xml:space="preserve">Cairo-Centric Expertise:</w:t>
      </w:r>
      <w:r>
        <w:t xml:space="preserve"> </w:t>
      </w:r>
      <w:r>
        <w:t xml:space="preserve">Deep familiarity with Cairo’s zoning laws, contractor networks (e.g., trusted local masons in Al-Masryia), and cultural sensitivities—reducing project delays by 25% versus competitors.</w:t>
      </w:r>
    </w:p>
    <w:p>
      <w:pPr>
        <w:numPr>
          <w:ilvl w:val="0"/>
          <w:numId w:val="1003"/>
        </w:numPr>
        <w:pStyle w:val="Compact"/>
      </w:pPr>
      <w:r>
        <w:rPr>
          <w:bCs/>
          <w:b/>
        </w:rPr>
        <w:t xml:space="preserve">Sustainable Cairo Solutions:</w:t>
      </w:r>
      <w:r>
        <w:t xml:space="preserve"> </w:t>
      </w:r>
      <w:r>
        <w:t xml:space="preserve">Using locally sourced materials (e.g., Egyptian clay tiles) to cut costs and align with Egypt’s environmental goals, as seen in our recent Giza sustainable townhouse project.</w:t>
      </w:r>
    </w:p>
    <w:p>
      <w:pPr>
        <w:numPr>
          <w:ilvl w:val="0"/>
          <w:numId w:val="1003"/>
        </w:numPr>
        <w:pStyle w:val="Compact"/>
      </w:pPr>
      <w:r>
        <w:rPr>
          <w:bCs/>
          <w:b/>
        </w:rPr>
        <w:t xml:space="preserve">End-to-End Digital Integration:</w:t>
      </w:r>
      <w:r>
        <w:t xml:space="preserve"> </w:t>
      </w:r>
      <w:r>
        <w:t xml:space="preserve">Virtual reality walkthroughs tailored for Cairo clients—allowing them to visualize designs amid real Cairo skyline contexts before construction begins.</w:t>
      </w:r>
    </w:p>
    <w:bookmarkEnd w:id="23"/>
    <w:bookmarkStart w:id="24" w:name="X946f515bd04b02fb739bf471db1ed3cb717ba7c"/>
    <w:p>
      <w:pPr>
        <w:pStyle w:val="Heading2"/>
      </w:pPr>
      <w:r>
        <w:t xml:space="preserve">Marketing Strategy: Actionable Tactics for Egypt Cairo</w:t>
      </w:r>
    </w:p>
    <w:p>
      <w:pPr>
        <w:pStyle w:val="FirstParagraph"/>
      </w:pPr>
      <w:r>
        <w:t xml:space="preserve">We deploy a multi-channel approach rooted in Cairo’s realities:</w:t>
      </w:r>
    </w:p>
    <w:p>
      <w:pPr>
        <w:numPr>
          <w:ilvl w:val="0"/>
          <w:numId w:val="1004"/>
        </w:numPr>
        <w:pStyle w:val="Compact"/>
      </w:pPr>
      <w:r>
        <w:rPr>
          <w:bCs/>
          <w:b/>
        </w:rPr>
        <w:t xml:space="preserve">Localized Content Marketing:</w:t>
      </w:r>
      <w:r>
        <w:t xml:space="preserve"> </w:t>
      </w:r>
      <w:r>
        <w:t xml:space="preserve">Publish case studies showcasing projects like "The Nile View Villa, Maadi" on our blog, highlighting challenges (e.g., managing water table issues in Nile-adjacent sites) solved through our Architect’s methods. Target keywords: "Architect Cairo," "Luxury Home Designer Egypt."</w:t>
      </w:r>
    </w:p>
    <w:p>
      <w:pPr>
        <w:numPr>
          <w:ilvl w:val="0"/>
          <w:numId w:val="1004"/>
        </w:numPr>
        <w:pStyle w:val="Compact"/>
      </w:pPr>
      <w:r>
        <w:rPr>
          <w:bCs/>
          <w:b/>
        </w:rPr>
        <w:t xml:space="preserve">Strategic Partnerships:</w:t>
      </w:r>
      <w:r>
        <w:t xml:space="preserve"> </w:t>
      </w:r>
      <w:r>
        <w:t xml:space="preserve">Collaborate with Cairo-based entities like the Egyptian Society of Engineers and real estate platforms (e.g., Property Finder Egypt) for joint webinars on "Designing for Cairo’s Climate."</w:t>
      </w:r>
    </w:p>
    <w:p>
      <w:pPr>
        <w:numPr>
          <w:ilvl w:val="0"/>
          <w:numId w:val="1004"/>
        </w:numPr>
        <w:pStyle w:val="Compact"/>
      </w:pPr>
      <w:r>
        <w:rPr>
          <w:bCs/>
          <w:b/>
        </w:rPr>
        <w:t xml:space="preserve">Community Engagement:</w:t>
      </w:r>
      <w:r>
        <w:t xml:space="preserve"> </w:t>
      </w:r>
      <w:r>
        <w:t xml:space="preserve">Sponsor events at venues like the MICA Gallery (Cairo) to host "Heritage Architecture Talks," positioning our Architect as a thought leader in preserving Cairo’s identity.</w:t>
      </w:r>
    </w:p>
    <w:p>
      <w:pPr>
        <w:numPr>
          <w:ilvl w:val="0"/>
          <w:numId w:val="1004"/>
        </w:numPr>
        <w:pStyle w:val="Compact"/>
      </w:pPr>
      <w:r>
        <w:rPr>
          <w:bCs/>
          <w:b/>
        </w:rPr>
        <w:t xml:space="preserve">Targeted Digital Advertising:</w:t>
      </w:r>
      <w:r>
        <w:t xml:space="preserve"> </w:t>
      </w:r>
      <w:r>
        <w:t xml:space="preserve">Geo-fenced Facebook/Google Ads focusing on Cairo neighborhoods (e.g., Heliopolis, Nasr City) with ad copies emphasizing "Egyptian Architect for Your Cairo Home."</w:t>
      </w:r>
    </w:p>
    <w:p>
      <w:pPr>
        <w:numPr>
          <w:ilvl w:val="0"/>
          <w:numId w:val="1004"/>
        </w:numPr>
        <w:pStyle w:val="Compact"/>
      </w:pPr>
      <w:r>
        <w:rPr>
          <w:bCs/>
          <w:b/>
        </w:rPr>
        <w:t xml:space="preserve">Client Referral Program:</w:t>
      </w:r>
      <w:r>
        <w:t xml:space="preserve"> </w:t>
      </w:r>
      <w:r>
        <w:t xml:space="preserve">Incentivize past clients (e.g., in New Cairo developments) with a 10% fee discount for referrals—leveraging trusted networks within Egypt’s tight-knit community.</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Establish localized content hub; initiate partnerships with Cairo engineering bodies. Budget: $8,500 (content creation, partnership outreach).</w:t>
      </w:r>
    </w:p>
    <w:p>
      <w:pPr>
        <w:pStyle w:val="BodyText"/>
      </w:pPr>
      <w:r>
        <w:rPr>
          <w:bCs/>
          <w:b/>
        </w:rPr>
        <w:t xml:space="preserve">Months 4-6:</w:t>
      </w:r>
      <w:r>
        <w:t xml:space="preserve"> </w:t>
      </w:r>
      <w:r>
        <w:t xml:space="preserve">Launch geo-targeted digital campaigns; host first heritage event in Downtown Cairo. Budget: $12,000 (ads, venue, promotion).</w:t>
      </w:r>
    </w:p>
    <w:p>
      <w:pPr>
        <w:pStyle w:val="BodyText"/>
      </w:pPr>
      <w:r>
        <w:rPr>
          <w:bCs/>
          <w:b/>
        </w:rPr>
        <w:t xml:space="preserve">Months 7-12:</w:t>
      </w:r>
      <w:r>
        <w:t xml:space="preserve"> </w:t>
      </w:r>
      <w:r>
        <w:t xml:space="preserve">Scale successful tactics; develop a referral program. Budget: $9,500 (incentives, analytics tools).</w:t>
      </w:r>
    </w:p>
    <w:p>
      <w:pPr>
        <w:pStyle w:val="BodyText"/>
      </w:pPr>
      <w:r>
        <w:t xml:space="preserve">Total Year 1 Marketing Budget: $30,000 (5% of projected revenue), with KPIs including 12 new Cairo-based client leads/month and 35% website traffic from Egypt.</w:t>
      </w:r>
    </w:p>
    <w:bookmarkEnd w:id="25"/>
    <w:bookmarkStart w:id="26" w:name="X2006731dd8bc95cae37189155cc0c5b10cbcf95"/>
    <w:p>
      <w:pPr>
        <w:pStyle w:val="Heading2"/>
      </w:pPr>
      <w:r>
        <w:t xml:space="preserve">Key Performance Indicators (KPIs) for Egypt Cairo Success</w:t>
      </w:r>
    </w:p>
    <w:p>
      <w:pPr>
        <w:pStyle w:val="FirstParagraph"/>
      </w:pPr>
      <w:r>
        <w:t xml:space="preserve">We measure success through metrics directly tied to Cairo’s market:</w:t>
      </w:r>
    </w:p>
    <w:p>
      <w:pPr>
        <w:numPr>
          <w:ilvl w:val="0"/>
          <w:numId w:val="1005"/>
        </w:numPr>
        <w:pStyle w:val="Compact"/>
      </w:pPr>
      <w:r>
        <w:rPr>
          <w:bCs/>
          <w:b/>
        </w:rPr>
        <w:t xml:space="preserve">Client Acquisition Cost (CAC):</w:t>
      </w:r>
      <w:r>
        <w:t xml:space="preserve"> </w:t>
      </w:r>
      <w:r>
        <w:t xml:space="preserve">Target: Below $1,500 per new client in Egypt—significantly lower than industry average due to localized tactics.</w:t>
      </w:r>
    </w:p>
    <w:p>
      <w:pPr>
        <w:numPr>
          <w:ilvl w:val="0"/>
          <w:numId w:val="1005"/>
        </w:numPr>
        <w:pStyle w:val="Compact"/>
      </w:pPr>
      <w:r>
        <w:rPr>
          <w:bCs/>
          <w:b/>
        </w:rPr>
        <w:t xml:space="preserve">Local Market Share:</w:t>
      </w:r>
      <w:r>
        <w:t xml:space="preserve"> </w:t>
      </w:r>
      <w:r>
        <w:t xml:space="preserve">Achieve 25% of high-end residential projects in Cairo by Year 2.</w:t>
      </w:r>
    </w:p>
    <w:p>
      <w:pPr>
        <w:numPr>
          <w:ilvl w:val="0"/>
          <w:numId w:val="1005"/>
        </w:numPr>
        <w:pStyle w:val="Compact"/>
      </w:pPr>
      <w:r>
        <w:rPr>
          <w:bCs/>
          <w:b/>
        </w:rPr>
        <w:t xml:space="preserve">Cultural Resonance:</w:t>
      </w:r>
      <w:r>
        <w:t xml:space="preserve"> </w:t>
      </w:r>
      <w:r>
        <w:t xml:space="preserve">Track client feedback on "design authenticity" (e.g., "The villa felt truly Egyptian," via post-project surveys).</w:t>
      </w:r>
    </w:p>
    <w:p>
      <w:pPr>
        <w:numPr>
          <w:ilvl w:val="0"/>
          <w:numId w:val="1005"/>
        </w:numPr>
        <w:pStyle w:val="Compact"/>
      </w:pPr>
      <w:r>
        <w:rPr>
          <w:bCs/>
          <w:b/>
        </w:rPr>
        <w:t xml:space="preserve">Heritage Project Pipeline:</w:t>
      </w:r>
      <w:r>
        <w:t xml:space="preserve"> </w:t>
      </w:r>
      <w:r>
        <w:t xml:space="preserve">Secure 3+ cultural restoration projects in Cairo within Year 1.</w:t>
      </w:r>
    </w:p>
    <w:bookmarkEnd w:id="26"/>
    <w:bookmarkStart w:id="27" w:name="conclusion-architecting-cairos-future"/>
    <w:p>
      <w:pPr>
        <w:pStyle w:val="Heading2"/>
      </w:pPr>
      <w:r>
        <w:t xml:space="preserve">Conclusion: Architecting Cairo’s Future</w:t>
      </w:r>
    </w:p>
    <w:p>
      <w:pPr>
        <w:pStyle w:val="FirstParagraph"/>
      </w:pPr>
      <w:r>
        <w:t xml:space="preserve">This Marketing Plan is not merely a document—it’s a roadmap for transforming how architecture is perceived and delivered in Egypt. By anchoring every strategy in the realities of Cairo—its culture, challenges, and aspirations—we position our Architect as an indispensable partner. We move beyond generic branding to become synonymous with *Cairo-centric excellence*: where heritage meets innovation, sustainability aligns with Egyptian values, and every project elevates the city’s skyline. This is how we don’t just market Architect services; we shape Cairo’s built environment for generations.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Egypt Cairo</dc:title>
  <dc:creator/>
  <dc:language>en</dc:language>
  <cp:keywords/>
  <dcterms:created xsi:type="dcterms:W3CDTF">2026-07-23T04:42:21Z</dcterms:created>
  <dcterms:modified xsi:type="dcterms:W3CDTF">2026-07-23T04:42:21Z</dcterms:modified>
</cp:coreProperties>
</file>

<file path=docProps/custom.xml><?xml version="1.0" encoding="utf-8"?>
<Properties xmlns="http://schemas.openxmlformats.org/officeDocument/2006/custom-properties" xmlns:vt="http://schemas.openxmlformats.org/officeDocument/2006/docPropsVTypes"/>
</file>