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475aed021657b63cd31d743ac730720d59236be"/>
    <w:p>
      <w:pPr>
        <w:pStyle w:val="Heading1"/>
      </w:pPr>
      <w:r>
        <w:t xml:space="preserve">Comprehensive Marketing Plan for Architectural Services in Ethiopia Addis Ababa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firm in Addis Ababa, Ethiopia. With rapid urbanization and infrastructure development driving unprecedented demand, our firm will position itself as the leading Architect service provider catering to Ethiopia's evolving built environment. The plan focuses on delivering culturally sensitive, sustainable designs aligned with Addis Ababa's unique socio-economic landscape while achieving 25% market share within three years.</w:t>
      </w:r>
    </w:p>
    <w:bookmarkEnd w:id="20"/>
    <w:bookmarkStart w:id="21" w:name="X153d1d4cfcceb26921fab626d652a963bcf1741"/>
    <w:p>
      <w:pPr>
        <w:pStyle w:val="Heading2"/>
      </w:pPr>
      <w:r>
        <w:t xml:space="preserve">Market Analysis: Ethiopia Addis Ababa Context</w:t>
      </w:r>
    </w:p>
    <w:p>
      <w:pPr>
        <w:pStyle w:val="FirstParagraph"/>
      </w:pPr>
      <w:r>
        <w:t xml:space="preserve">Addis Ababa, the bustling capital of Ethiopia, is undergoing transformative growth with a population exceeding 5 million and projected to reach 8.7 million by 2030. The city's development boom—fueled by government initiatives like the Addis Ababa City Master Plan and private sector investments in commercial hubs (e.g., Bole Lemi, Kality), housing projects, and infrastructure—creates a $1.2 billion annual market for Architect services. Key trends include:</w:t>
      </w:r>
    </w:p>
    <w:p>
      <w:pPr>
        <w:numPr>
          <w:ilvl w:val="0"/>
          <w:numId w:val="1001"/>
        </w:numPr>
        <w:pStyle w:val="Compact"/>
      </w:pPr>
      <w:r>
        <w:rPr>
          <w:bCs/>
          <w:b/>
        </w:rPr>
        <w:t xml:space="preserve">Sustainable Urbanization</w:t>
      </w:r>
      <w:r>
        <w:t xml:space="preserve">: Government mandates for green building standards (Ethiopia Green Building Council) necessitate eco-conscious designs.</w:t>
      </w:r>
    </w:p>
    <w:p>
      <w:pPr>
        <w:numPr>
          <w:ilvl w:val="0"/>
          <w:numId w:val="1001"/>
        </w:numPr>
        <w:pStyle w:val="Compact"/>
      </w:pPr>
      <w:r>
        <w:rPr>
          <w:bCs/>
          <w:b/>
        </w:rPr>
        <w:t xml:space="preserve">Infrastructure Expansion</w:t>
      </w:r>
      <w:r>
        <w:t xml:space="preserve">: New industrial parks, roads, and the Addis Ababa Light Rail Transit System demand specialized Architect expertise.</w:t>
      </w:r>
    </w:p>
    <w:p>
      <w:pPr>
        <w:numPr>
          <w:ilvl w:val="0"/>
          <w:numId w:val="1001"/>
        </w:numPr>
        <w:pStyle w:val="Compact"/>
      </w:pPr>
      <w:r>
        <w:rPr>
          <w:bCs/>
          <w:b/>
        </w:rPr>
        <w:t xml:space="preserve">Cultural Integration</w:t>
      </w:r>
      <w:r>
        <w:t xml:space="preserve">: Clients increasingly seek designs honoring Ethiopian aesthetics while meeting modern functionality (e.g., traditional "gada" elements in contemporary structures).</w:t>
      </w:r>
    </w:p>
    <w:bookmarkEnd w:id="21"/>
    <w:bookmarkStart w:id="22" w:name="competitive-landscape"/>
    <w:p>
      <w:pPr>
        <w:pStyle w:val="Heading2"/>
      </w:pPr>
      <w:r>
        <w:t xml:space="preserve">Competitive Landscape</w:t>
      </w:r>
    </w:p>
    <w:p>
      <w:pPr>
        <w:pStyle w:val="FirstParagraph"/>
      </w:pPr>
      <w:r>
        <w:t xml:space="preserve">The Addis Ababa Architect market features three segments:</w:t>
      </w:r>
    </w:p>
    <w:p>
      <w:pPr>
        <w:numPr>
          <w:ilvl w:val="0"/>
          <w:numId w:val="1002"/>
        </w:numPr>
        <w:pStyle w:val="Compact"/>
      </w:pPr>
      <w:r>
        <w:rPr>
          <w:bCs/>
          <w:b/>
        </w:rPr>
        <w:t xml:space="preserve">Local Firms (65% share)</w:t>
      </w:r>
      <w:r>
        <w:t xml:space="preserve">: Limited technical capacity, focusing on basic residential projects.</w:t>
      </w:r>
    </w:p>
    <w:p>
      <w:pPr>
        <w:numPr>
          <w:ilvl w:val="0"/>
          <w:numId w:val="1002"/>
        </w:numPr>
        <w:pStyle w:val="Compact"/>
      </w:pPr>
      <w:r>
        <w:rPr>
          <w:bCs/>
          <w:b/>
        </w:rPr>
        <w:t xml:space="preserve">International Firms (25% share)</w:t>
      </w:r>
      <w:r>
        <w:t xml:space="preserve">: High-cost services (30-50% premium) with cultural disconnect.</w:t>
      </w:r>
    </w:p>
    <w:p>
      <w:pPr>
        <w:numPr>
          <w:ilvl w:val="0"/>
          <w:numId w:val="1002"/>
        </w:numPr>
        <w:pStyle w:val="Compact"/>
      </w:pPr>
      <w:r>
        <w:rPr>
          <w:bCs/>
          <w:b/>
        </w:rPr>
        <w:t xml:space="preserve">Our Firm (Emerging Segment)</w:t>
      </w:r>
      <w:r>
        <w:t xml:space="preserve">: Targeting the gap with culturally fluent, cost-effective solutions.</w:t>
      </w:r>
    </w:p>
    <w:bookmarkEnd w:id="22"/>
    <w:bookmarkStart w:id="23" w:name="marketing-objectives"/>
    <w:p>
      <w:pPr>
        <w:pStyle w:val="Heading2"/>
      </w:pPr>
      <w:r>
        <w:t xml:space="preserve">Marketing Objectives</w:t>
      </w:r>
    </w:p>
    <w:p>
      <w:pPr>
        <w:numPr>
          <w:ilvl w:val="0"/>
          <w:numId w:val="1003"/>
        </w:numPr>
        <w:pStyle w:val="Compact"/>
      </w:pPr>
      <w:r>
        <w:t xml:space="preserve">Achieve 15% market penetration in commercial Architect services within 18 months.</w:t>
      </w:r>
    </w:p>
    <w:p>
      <w:pPr>
        <w:numPr>
          <w:ilvl w:val="0"/>
          <w:numId w:val="1003"/>
        </w:numPr>
        <w:pStyle w:val="Compact"/>
      </w:pPr>
      <w:r>
        <w:t xml:space="preserve">Secure 5 major government projects (e.g., municipal buildings, schools) by Year 2.</w:t>
      </w:r>
    </w:p>
    <w:p>
      <w:pPr>
        <w:numPr>
          <w:ilvl w:val="0"/>
          <w:numId w:val="1003"/>
        </w:numPr>
        <w:pStyle w:val="Compact"/>
      </w:pPr>
      <w:r>
        <w:t xml:space="preserve">Attain 90% client retention rate through post-project support.</w:t>
      </w:r>
    </w:p>
    <w:p>
      <w:pPr>
        <w:numPr>
          <w:ilvl w:val="0"/>
          <w:numId w:val="1003"/>
        </w:numPr>
        <w:pStyle w:val="Compact"/>
      </w:pPr>
      <w:r>
        <w:t xml:space="preserve">Establish brand as "Ethiopia’s Most Culturally Intelligent Architect Firm" in Addis Ababa media by Year 3.</w:t>
      </w:r>
    </w:p>
    <w:bookmarkEnd w:id="23"/>
    <w:bookmarkStart w:id="28" w:name="X14dc17ace1dc4c2c0d7121fdb46b397d6a60dc1"/>
    <w:p>
      <w:pPr>
        <w:pStyle w:val="Heading2"/>
      </w:pPr>
      <w:r>
        <w:t xml:space="preserve">Marketing Strategies: The 4 Ps for Ethiopia Addis Ababa</w:t>
      </w:r>
    </w:p>
    <w:bookmarkStart w:id="24" w:name="Xd611a9851e02cedf7614183fd0368e7e324a445"/>
    <w:p>
      <w:pPr>
        <w:pStyle w:val="Heading3"/>
      </w:pPr>
      <w:r>
        <w:t xml:space="preserve">Product (Architect Service Differentiation)</w:t>
      </w:r>
    </w:p>
    <w:p>
      <w:pPr>
        <w:pStyle w:val="FirstParagraph"/>
      </w:pPr>
      <w:r>
        <w:t xml:space="preserve">We offer three tailored Architect service bundles:</w:t>
      </w:r>
    </w:p>
    <w:p>
      <w:pPr>
        <w:numPr>
          <w:ilvl w:val="0"/>
          <w:numId w:val="1004"/>
        </w:numPr>
        <w:pStyle w:val="Compact"/>
      </w:pPr>
      <w:r>
        <w:rPr>
          <w:bCs/>
          <w:b/>
        </w:rPr>
        <w:t xml:space="preserve">Cultural Heritage Integration Package</w:t>
      </w:r>
      <w:r>
        <w:t xml:space="preserve">: Blending traditional Ethiopian motifs (e.g., coffee ceremony spaces, woven patterns) into modern structures. *Example: Designing a hotel in Addis Ababa’s historic center with indigenous materials like "dabo" wood and local stone.</w:t>
      </w:r>
    </w:p>
    <w:p>
      <w:pPr>
        <w:numPr>
          <w:ilvl w:val="0"/>
          <w:numId w:val="1004"/>
        </w:numPr>
        <w:pStyle w:val="Compact"/>
      </w:pPr>
      <w:r>
        <w:rPr>
          <w:bCs/>
          <w:b/>
        </w:rPr>
        <w:t xml:space="preserve">Sustainable Urban Development Suite</w:t>
      </w:r>
      <w:r>
        <w:t xml:space="preserve">: LEED-certified designs meeting Ethiopia’s 2030 Green Building targets, including rainwater harvesting and solar-ready structures. *Relevant for new residential complexes in expanding areas like Yeka or Kotebe.</w:t>
      </w:r>
    </w:p>
    <w:p>
      <w:pPr>
        <w:numPr>
          <w:ilvl w:val="0"/>
          <w:numId w:val="1004"/>
        </w:numPr>
        <w:pStyle w:val="Compact"/>
      </w:pPr>
      <w:r>
        <w:rPr>
          <w:bCs/>
          <w:b/>
        </w:rPr>
        <w:t xml:space="preserve">Government Compliance Accelerator</w:t>
      </w:r>
      <w:r>
        <w:t xml:space="preserve">: Streamlining approvals through partnerships with Addis Ababa City Administration’s planning department to cut permit timelines by 40%.</w:t>
      </w:r>
    </w:p>
    <w:bookmarkEnd w:id="24"/>
    <w:bookmarkStart w:id="25" w:name="pricing-strategy"/>
    <w:p>
      <w:pPr>
        <w:pStyle w:val="Heading3"/>
      </w:pPr>
      <w:r>
        <w:t xml:space="preserve">Pricing Strategy</w:t>
      </w:r>
    </w:p>
    <w:p>
      <w:pPr>
        <w:pStyle w:val="FirstParagraph"/>
      </w:pPr>
      <w:r>
        <w:t xml:space="preserve">A tiered model balancing affordability and premium value:</w:t>
      </w:r>
    </w:p>
    <w:p>
      <w:pPr>
        <w:numPr>
          <w:ilvl w:val="0"/>
          <w:numId w:val="1005"/>
        </w:numPr>
        <w:pStyle w:val="Compact"/>
      </w:pPr>
      <w:r>
        <w:t xml:space="preserve">Standard Residential: 25% below international rates (e.g., $15–$20/sq.m vs. $20–$30/sq.m).</w:t>
      </w:r>
    </w:p>
    <w:p>
      <w:pPr>
        <w:numPr>
          <w:ilvl w:val="0"/>
          <w:numId w:val="1005"/>
        </w:numPr>
        <w:pStyle w:val="Compact"/>
      </w:pPr>
      <w:r>
        <w:t xml:space="preserve">Sustainability-Enhanced Projects: 15% premium over standard, reflecting added eco-value.</w:t>
      </w:r>
    </w:p>
    <w:p>
      <w:pPr>
        <w:numPr>
          <w:ilvl w:val="0"/>
          <w:numId w:val="1005"/>
        </w:numPr>
        <w:pStyle w:val="Compact"/>
      </w:pPr>
      <w:r>
        <w:t xml:space="preserve">Government Contracts: Fixed-price bidding based on Addis Ababa’s public procurement guidelines.</w:t>
      </w:r>
    </w:p>
    <w:bookmarkEnd w:id="25"/>
    <w:bookmarkStart w:id="26" w:name="place-distribution-accessibility"/>
    <w:p>
      <w:pPr>
        <w:pStyle w:val="Heading3"/>
      </w:pPr>
      <w:r>
        <w:t xml:space="preserve">Place (Distribution &amp; Accessibility)</w:t>
      </w:r>
    </w:p>
    <w:p>
      <w:pPr>
        <w:pStyle w:val="FirstParagraph"/>
      </w:pPr>
      <w:r>
        <w:t xml:space="preserve">Leveraging Ethiopia Addis Ababa’s infrastructure:</w:t>
      </w:r>
    </w:p>
    <w:p>
      <w:pPr>
        <w:numPr>
          <w:ilvl w:val="0"/>
          <w:numId w:val="1006"/>
        </w:numPr>
        <w:pStyle w:val="Compact"/>
      </w:pPr>
      <w:r>
        <w:rPr>
          <w:bCs/>
          <w:b/>
        </w:rPr>
        <w:t xml:space="preserve">Physical Hubs</w:t>
      </w:r>
      <w:r>
        <w:t xml:space="preserve">: Offices in Bole Lemi (commercial) and Old Town (cultural proximity) for client access.</w:t>
      </w:r>
    </w:p>
    <w:p>
      <w:pPr>
        <w:numPr>
          <w:ilvl w:val="0"/>
          <w:numId w:val="1006"/>
        </w:numPr>
        <w:pStyle w:val="Compact"/>
      </w:pPr>
      <w:r>
        <w:rPr>
          <w:bCs/>
          <w:b/>
        </w:rPr>
        <w:t xml:space="preserve">Mobile Consultation Units</w:t>
      </w:r>
      <w:r>
        <w:t xml:space="preserve">: Vehicles equipped with VR headsets to showcase designs in underserved neighborhoods (e.g., Sebeta, Meskel Square).</w:t>
      </w:r>
    </w:p>
    <w:p>
      <w:pPr>
        <w:numPr>
          <w:ilvl w:val="0"/>
          <w:numId w:val="1006"/>
        </w:numPr>
        <w:pStyle w:val="Compact"/>
      </w:pPr>
      <w:r>
        <w:rPr>
          <w:bCs/>
          <w:b/>
        </w:rPr>
        <w:t xml:space="preserve">Digital Platform</w:t>
      </w:r>
      <w:r>
        <w:t xml:space="preserve">: An Amharic/English mobile app for project tracking, reducing communication barriers in Ethiopia.</w:t>
      </w:r>
    </w:p>
    <w:bookmarkEnd w:id="26"/>
    <w:bookmarkStart w:id="27" w:name="Xd120ef14f09f2c41c62df228b62280d2d717190"/>
    <w:p>
      <w:pPr>
        <w:pStyle w:val="Heading3"/>
      </w:pPr>
      <w:r>
        <w:t xml:space="preserve">Promotion (Ethiopia Addis Ababa-Centric Tactics)</w:t>
      </w:r>
    </w:p>
    <w:p>
      <w:pPr>
        <w:pStyle w:val="FirstParagraph"/>
      </w:pPr>
      <w:r>
        <w:t xml:space="preserve">Localized engagement strategies:</w:t>
      </w:r>
    </w:p>
    <w:p>
      <w:pPr>
        <w:numPr>
          <w:ilvl w:val="0"/>
          <w:numId w:val="1007"/>
        </w:numPr>
        <w:pStyle w:val="Compact"/>
      </w:pPr>
      <w:r>
        <w:rPr>
          <w:bCs/>
          <w:b/>
        </w:rPr>
        <w:t xml:space="preserve">Cultural Partnerships</w:t>
      </w:r>
      <w:r>
        <w:t xml:space="preserve">: Collaborate with Ethiopian Arts Council for "Design for Community" workshops in public spaces like Merkato.</w:t>
      </w:r>
    </w:p>
    <w:p>
      <w:pPr>
        <w:numPr>
          <w:ilvl w:val="0"/>
          <w:numId w:val="1007"/>
        </w:numPr>
        <w:pStyle w:val="Compact"/>
      </w:pPr>
      <w:r>
        <w:rPr>
          <w:bCs/>
          <w:b/>
        </w:rPr>
        <w:t xml:space="preserve">Government Advocacy</w:t>
      </w:r>
      <w:r>
        <w:t xml:space="preserve">: Sponsor Addis Ababa’s annual Urban Development Forum to position our Architect as policy-informed leaders.</w:t>
      </w:r>
    </w:p>
    <w:p>
      <w:pPr>
        <w:numPr>
          <w:ilvl w:val="0"/>
          <w:numId w:val="1007"/>
        </w:numPr>
        <w:pStyle w:val="Compact"/>
      </w:pPr>
      <w:r>
        <w:rPr>
          <w:bCs/>
          <w:b/>
        </w:rPr>
        <w:t xml:space="preserve">Community Storytelling</w:t>
      </w:r>
      <w:r>
        <w:t xml:space="preserve">: Film short documentaries on successful projects (e.g., "How the Arat Kilo School Project Transformed Education") for local TV (ETV) and social media.</w:t>
      </w:r>
    </w:p>
    <w:p>
      <w:pPr>
        <w:numPr>
          <w:ilvl w:val="0"/>
          <w:numId w:val="1007"/>
        </w:numPr>
        <w:pStyle w:val="Compact"/>
      </w:pPr>
      <w:r>
        <w:rPr>
          <w:bCs/>
          <w:b/>
        </w:rPr>
        <w:t xml:space="preserve">Referral Network</w:t>
      </w:r>
      <w:r>
        <w:t xml:space="preserve">: Incentivize architects, contractors, and community leaders with commissions for client referrals—leveraging Ethiopia’s strong oral-network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Q1–Q2 (Year 1)</w:t>
            </w:r>
          </w:p>
        </w:tc>
        <w:tc>
          <w:tcPr/>
          <w:p>
            <w:pPr>
              <w:pStyle w:val="Compact"/>
              <w:jc w:val="left"/>
            </w:pPr>
            <w:r>
              <w:t xml:space="preserve">Landing government partnerships; launch Amharic app; hire local cultural consultants.</w:t>
            </w:r>
          </w:p>
        </w:tc>
        <w:tc>
          <w:tcPr/>
          <w:p>
            <w:pPr>
              <w:pStyle w:val="Compact"/>
              <w:jc w:val="left"/>
            </w:pPr>
            <w:r>
              <w:t xml:space="preserve">50+ signed MOUs with community groups; App downloads: 2,000</w:t>
            </w:r>
          </w:p>
        </w:tc>
      </w:tr>
      <w:tr>
        <w:tc>
          <w:tcPr/>
          <w:p>
            <w:pPr>
              <w:pStyle w:val="Compact"/>
              <w:jc w:val="left"/>
            </w:pPr>
            <w:r>
              <w:t xml:space="preserve">Q3–Q4 (Year 1)</w:t>
            </w:r>
          </w:p>
        </w:tc>
        <w:tc>
          <w:tcPr/>
          <w:p>
            <w:pPr>
              <w:pStyle w:val="Compact"/>
              <w:jc w:val="left"/>
            </w:pPr>
            <w:r>
              <w:t xml:space="preserve">Execute first sustainability project (e.g., eco-housing in Nifas Silk); host "Design for Addis" conference.</w:t>
            </w:r>
          </w:p>
        </w:tc>
        <w:tc>
          <w:tcPr/>
          <w:p>
            <w:pPr>
              <w:pStyle w:val="Compact"/>
              <w:jc w:val="left"/>
            </w:pPr>
            <w:r>
              <w:t xml:space="preserve">3 government projects secured; 75% client satisfaction score</w:t>
            </w:r>
          </w:p>
        </w:tc>
      </w:tr>
      <w:tr>
        <w:tc>
          <w:tcPr/>
          <w:p>
            <w:pPr>
              <w:pStyle w:val="Compact"/>
              <w:jc w:val="left"/>
            </w:pPr>
            <w:r>
              <w:t xml:space="preserve">Year 2</w:t>
            </w:r>
          </w:p>
        </w:tc>
        <w:tc>
          <w:tcPr/>
          <w:p>
            <w:pPr>
              <w:pStyle w:val="Compact"/>
              <w:jc w:val="left"/>
            </w:pPr>
            <w:r>
              <w:t xml:space="preserve">Expand into industrial park designs; train local interns through Ethiopia’s National Youth Employment Program.</w:t>
            </w:r>
          </w:p>
        </w:tc>
        <w:tc>
          <w:tcPr/>
          <w:p>
            <w:pPr>
              <w:pStyle w:val="Compact"/>
              <w:jc w:val="left"/>
            </w:pPr>
            <w:r>
              <w:t xml:space="preserve">Maintain 20% monthly client growth; Train 15+ Ethiopian architects</w:t>
            </w:r>
          </w:p>
        </w:tc>
      </w:tr>
    </w:tbl>
    <w:bookmarkEnd w:id="29"/>
    <w:bookmarkStart w:id="30" w:name="budget-allocation-year-1"/>
    <w:p>
      <w:pPr>
        <w:pStyle w:val="Heading2"/>
      </w:pPr>
      <w:r>
        <w:t xml:space="preserve">Budget Allocation (Year 1)</w:t>
      </w:r>
    </w:p>
    <w:p>
      <w:pPr>
        <w:pStyle w:val="FirstParagraph"/>
      </w:pPr>
      <w:r>
        <w:t xml:space="preserve">Total Investment: $350,000</w:t>
      </w:r>
    </w:p>
    <w:p>
      <w:pPr>
        <w:numPr>
          <w:ilvl w:val="0"/>
          <w:numId w:val="1008"/>
        </w:numPr>
        <w:pStyle w:val="Compact"/>
      </w:pPr>
      <w:r>
        <w:t xml:space="preserve">Marketing &amp; Community Engagement: 45% ($157,500) – Workshops, cultural events, digital campaigns.</w:t>
      </w:r>
    </w:p>
    <w:p>
      <w:pPr>
        <w:numPr>
          <w:ilvl w:val="0"/>
          <w:numId w:val="1008"/>
        </w:numPr>
        <w:pStyle w:val="Compact"/>
      </w:pPr>
      <w:r>
        <w:t xml:space="preserve">Technology &amp; Localization: 30% ($105,000) – Amharic app development, VR tools for rural areas.</w:t>
      </w:r>
    </w:p>
    <w:p>
      <w:pPr>
        <w:numPr>
          <w:ilvl w:val="0"/>
          <w:numId w:val="1008"/>
        </w:numPr>
        <w:pStyle w:val="Compact"/>
      </w:pPr>
      <w:r>
        <w:t xml:space="preserve">Government Liaison: 15% ($52,500) – Staff training on Addis Ababa’s zoning laws.</w:t>
      </w:r>
    </w:p>
    <w:p>
      <w:pPr>
        <w:numPr>
          <w:ilvl w:val="0"/>
          <w:numId w:val="1008"/>
        </w:numPr>
        <w:pStyle w:val="Compact"/>
      </w:pPr>
      <w:r>
        <w:t xml:space="preserve">Contingency: 10% ($35,000)</w:t>
      </w:r>
    </w:p>
    <w:bookmarkEnd w:id="30"/>
    <w:bookmarkStart w:id="31" w:name="evaluation-ethical-compliance"/>
    <w:p>
      <w:pPr>
        <w:pStyle w:val="Heading2"/>
      </w:pPr>
      <w:r>
        <w:t xml:space="preserve">Evaluation &amp; Ethical Compliance</w:t>
      </w:r>
    </w:p>
    <w:p>
      <w:pPr>
        <w:pStyle w:val="FirstParagraph"/>
      </w:pPr>
      <w:r>
        <w:t xml:space="preserve">We track success through Ethiopia-specific metrics:</w:t>
      </w:r>
    </w:p>
    <w:p>
      <w:pPr>
        <w:numPr>
          <w:ilvl w:val="0"/>
          <w:numId w:val="1009"/>
        </w:numPr>
        <w:pStyle w:val="Compact"/>
      </w:pPr>
      <w:r>
        <w:rPr>
          <w:bCs/>
          <w:b/>
        </w:rPr>
        <w:t xml:space="preserve">Cultural Impact Score</w:t>
      </w:r>
      <w:r>
        <w:t xml:space="preserve">: Measured by client surveys on design authenticity (target: 4.5/5).</w:t>
      </w:r>
    </w:p>
    <w:p>
      <w:pPr>
        <w:numPr>
          <w:ilvl w:val="0"/>
          <w:numId w:val="1009"/>
        </w:numPr>
        <w:pStyle w:val="Compact"/>
      </w:pPr>
      <w:r>
        <w:rPr>
          <w:bCs/>
          <w:b/>
        </w:rPr>
        <w:t xml:space="preserve">Social ROI</w:t>
      </w:r>
      <w:r>
        <w:t xml:space="preserve">: Number of jobs created for local youth in our projects (target: 100+ by Year 2).</w:t>
      </w:r>
    </w:p>
    <w:p>
      <w:pPr>
        <w:numPr>
          <w:ilvl w:val="0"/>
          <w:numId w:val="1009"/>
        </w:numPr>
        <w:pStyle w:val="Compact"/>
      </w:pPr>
      <w:r>
        <w:rPr>
          <w:bCs/>
          <w:b/>
        </w:rPr>
        <w:t xml:space="preserve">Regulatory Adherence</w:t>
      </w:r>
      <w:r>
        <w:t xml:space="preserve">: Zero non-compliance incidents with Addis Ababa City Administration regulations.</w:t>
      </w:r>
    </w:p>
    <w:bookmarkEnd w:id="31"/>
    <w:bookmarkStart w:id="32" w:name="Xfddffd60e252a2cc45392b3fa7f49a5f6a7637c"/>
    <w:p>
      <w:pPr>
        <w:pStyle w:val="Heading2"/>
      </w:pPr>
      <w:r>
        <w:t xml:space="preserve">Conclusion: Building Ethiopia’s Future, One Architectural Vision at a Time</w:t>
      </w:r>
    </w:p>
    <w:p>
      <w:pPr>
        <w:pStyle w:val="FirstParagraph"/>
      </w:pPr>
      <w:r>
        <w:t xml:space="preserve">This Marketing Plan positions our firm as the indispensable Partner for sustainable growth in Ethiopia Addis Ababa. By centering our Architect services around local identity, government priorities, and community needs—not just technical skill—we will redefine excellence in Ethiopian architecture. As Addis Ababa’s skyline evolves, we commit to crafting spaces that honor Ethiopia’s past while empowering its future. This isn’t merely a business strategy; it’s a mission to shape the soul of Africa’s most dynamic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Ethiopia Addis Ababa</dc:title>
  <dc:creator/>
  <dc:language>en</dc:language>
  <cp:keywords/>
  <dcterms:created xsi:type="dcterms:W3CDTF">2026-07-21T15:21:14Z</dcterms:created>
  <dcterms:modified xsi:type="dcterms:W3CDTF">2026-07-21T15:21:14Z</dcterms:modified>
</cp:coreProperties>
</file>

<file path=docProps/custom.xml><?xml version="1.0" encoding="utf-8"?>
<Properties xmlns="http://schemas.openxmlformats.org/officeDocument/2006/custom-properties" xmlns:vt="http://schemas.openxmlformats.org/officeDocument/2006/docPropsVTypes"/>
</file>