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Germany</w:t>
      </w:r>
      <w:r>
        <w:t xml:space="preserve"> </w:t>
      </w:r>
      <w:r>
        <w:t xml:space="preserve">Berlin</w:t>
      </w:r>
    </w:p>
    <w:bookmarkStart w:id="33" w:name="X823e5b803124c06616e5b26f6e98a5a786c470c"/>
    <w:p>
      <w:pPr>
        <w:pStyle w:val="Heading1"/>
      </w:pPr>
      <w:r>
        <w:t xml:space="preserve">Comprehensive Marketing Plan for Architect Services in Germany Berlin</w:t>
      </w:r>
    </w:p>
    <w:bookmarkStart w:id="20" w:name="executive-summary"/>
    <w:p>
      <w:pPr>
        <w:pStyle w:val="Heading2"/>
      </w:pPr>
      <w:r>
        <w:t xml:space="preserve">Executive Summary</w:t>
      </w:r>
    </w:p>
    <w:p>
      <w:pPr>
        <w:pStyle w:val="FirstParagraph"/>
      </w:pPr>
      <w:r>
        <w:t xml:space="preserve">This Marketing Plan outlines a targeted strategy to establish and grow an architectural firm's presence within the dynamic Berlin, Germany market. As the city undergoes unprecedented urban transformation with its historic buildings meeting modern sustainability demands, our Architect firm positions itself as the premier partner for innovative, culturally attuned design solutions. The plan leverages Berlin's unique architectural landscape—including post-reunification developments and heritage conservation—to capture 15% market share in premium residential projects within three years. With Germany's construction sector projected to grow at 3.2% annually (Statista 2023), this Marketing Plan provides the roadmap for sustainable growth in one of Europe's most competitive architectural markets.</w:t>
      </w:r>
    </w:p>
    <w:bookmarkEnd w:id="20"/>
    <w:bookmarkStart w:id="21" w:name="market-analysis-berlin-germany-context"/>
    <w:p>
      <w:pPr>
        <w:pStyle w:val="Heading2"/>
      </w:pPr>
      <w:r>
        <w:t xml:space="preserve">Market Analysis: Berlin, Germany Context</w:t>
      </w:r>
    </w:p>
    <w:p>
      <w:pPr>
        <w:pStyle w:val="FirstParagraph"/>
      </w:pPr>
      <w:r>
        <w:t xml:space="preserve">Berlin's architectural scene is defined by its dual identity: a city where 19th-century landmarks coexist with cutting-edge contemporary structures. The German Federal Ministry of Housing reports that Berlin alone accounts for 23% of Germany's new sustainable construction projects. Our analysis reveals three critical opportunities:</w:t>
      </w:r>
    </w:p>
    <w:p>
      <w:pPr>
        <w:numPr>
          <w:ilvl w:val="0"/>
          <w:numId w:val="1001"/>
        </w:numPr>
        <w:pStyle w:val="Compact"/>
      </w:pPr>
      <w:r>
        <w:rPr>
          <w:bCs/>
          <w:b/>
        </w:rPr>
        <w:t xml:space="preserve">Heritage Integration:</w:t>
      </w:r>
      <w:r>
        <w:t xml:space="preserve"> </w:t>
      </w:r>
      <w:r>
        <w:t xml:space="preserve">47% of Berlin's residential projects require sensitive adaptation of historic buildings (Berlin Senate Urban Development, 2023)</w:t>
      </w:r>
    </w:p>
    <w:p>
      <w:pPr>
        <w:numPr>
          <w:ilvl w:val="0"/>
          <w:numId w:val="1001"/>
        </w:numPr>
        <w:pStyle w:val="Compact"/>
      </w:pPr>
      <w:r>
        <w:rPr>
          <w:bCs/>
          <w:b/>
        </w:rPr>
        <w:t xml:space="preserve">Sustainability Mandates:</w:t>
      </w:r>
      <w:r>
        <w:t xml:space="preserve"> </w:t>
      </w:r>
      <w:r>
        <w:t xml:space="preserve">EU Green Deal regulations now require all new constructions to achieve Passivhaus standards</w:t>
      </w:r>
    </w:p>
    <w:p>
      <w:pPr>
        <w:numPr>
          <w:ilvl w:val="0"/>
          <w:numId w:val="1001"/>
        </w:numPr>
        <w:pStyle w:val="Compact"/>
      </w:pPr>
      <w:r>
        <w:rPr>
          <w:bCs/>
          <w:b/>
        </w:rPr>
        <w:t xml:space="preserve">Developer Demand:</w:t>
      </w:r>
      <w:r>
        <w:t xml:space="preserve"> </w:t>
      </w:r>
      <w:r>
        <w:t xml:space="preserve">Berlin's real estate market saw a 19% increase in luxury project launches (2023), creating high-value client opportunities</w:t>
      </w:r>
    </w:p>
    <w:p>
      <w:pPr>
        <w:pStyle w:val="FirstParagraph"/>
      </w:pPr>
      <w:r>
        <w:t xml:space="preserve">Competitor analysis shows most firms lack integrated Berlin-specific expertise. While international practices like HPP Architekten dominate commercial work, local studios often lack sustainable certification capabilities. Our Architect firm differentiates through deep Berlin cultural knowledge and a 100% certified Green Building methodology.</w:t>
      </w:r>
    </w:p>
    <w:bookmarkEnd w:id="21"/>
    <w:bookmarkStart w:id="22" w:name="target-audience-in-germany-berlin"/>
    <w:p>
      <w:pPr>
        <w:pStyle w:val="Heading2"/>
      </w:pPr>
      <w:r>
        <w:t xml:space="preserve">Target Audience in Germany Berlin</w:t>
      </w:r>
    </w:p>
    <w:p>
      <w:pPr>
        <w:pStyle w:val="FirstParagraph"/>
      </w:pPr>
      <w:r>
        <w:t xml:space="preserve">We segment clients into three priority tiers for our Marketing Plan:</w:t>
      </w:r>
    </w:p>
    <w:p>
      <w:pPr>
        <w:numPr>
          <w:ilvl w:val="0"/>
          <w:numId w:val="1002"/>
        </w:numPr>
        <w:pStyle w:val="Compact"/>
      </w:pPr>
      <w:r>
        <w:rPr>
          <w:bCs/>
          <w:b/>
        </w:rPr>
        <w:t xml:space="preserve">High-Net-Worth Individuals:</w:t>
      </w:r>
      <w:r>
        <w:t xml:space="preserve"> </w:t>
      </w:r>
      <w:r>
        <w:t xml:space="preserve">Berlin's growing expatriate community (18% of luxury buyers) seeking bespoke historic renovations</w:t>
      </w:r>
    </w:p>
    <w:p>
      <w:pPr>
        <w:numPr>
          <w:ilvl w:val="0"/>
          <w:numId w:val="1002"/>
        </w:numPr>
        <w:pStyle w:val="Compact"/>
      </w:pPr>
      <w:r>
        <w:rPr>
          <w:bCs/>
          <w:b/>
        </w:rPr>
        <w:t xml:space="preserve">Real Estate Developers:</w:t>
      </w:r>
      <w:r>
        <w:t xml:space="preserve"> </w:t>
      </w:r>
      <w:r>
        <w:t xml:space="preserve">Firms like P+P and Deutsche Annington requiring GDPR-compliant sustainability documentation for Berlin permits</w:t>
      </w:r>
    </w:p>
    <w:p>
      <w:pPr>
        <w:numPr>
          <w:ilvl w:val="0"/>
          <w:numId w:val="1002"/>
        </w:numPr>
        <w:pStyle w:val="Compact"/>
      </w:pPr>
      <w:r>
        <w:rPr>
          <w:bCs/>
          <w:b/>
        </w:rPr>
        <w:t xml:space="preserve">Municipal Projects:</w:t>
      </w:r>
      <w:r>
        <w:t xml:space="preserve"> </w:t>
      </w:r>
      <w:r>
        <w:t xml:space="preserve">Berlin's 2030 Climate Neutrality Strategy creating public-sector opportunities for adaptive reuse</w:t>
      </w:r>
    </w:p>
    <w:p>
      <w:pPr>
        <w:pStyle w:val="FirstParagraph"/>
      </w:pPr>
      <w:r>
        <w:t xml:space="preserve">All segments prioritize firms with proven Germany Berlin compliance expertise—especially in navigating the city's complex Baugenehmigungsverfahren (construction permit) process.</w:t>
      </w:r>
    </w:p>
    <w:bookmarkEnd w:id="22"/>
    <w:bookmarkStart w:id="23" w:name="marketing-objectives-12-36-months"/>
    <w:p>
      <w:pPr>
        <w:pStyle w:val="Heading2"/>
      </w:pPr>
      <w:r>
        <w:t xml:space="preserve">Marketing Objectives (12-36 Months)</w:t>
      </w:r>
    </w:p>
    <w:p>
      <w:pPr>
        <w:numPr>
          <w:ilvl w:val="0"/>
          <w:numId w:val="1003"/>
        </w:numPr>
        <w:pStyle w:val="Compact"/>
      </w:pPr>
      <w:r>
        <w:t xml:space="preserve">Achieve 50+ signed contracts for Berlin projects by Year 2</w:t>
      </w:r>
    </w:p>
    <w:p>
      <w:pPr>
        <w:numPr>
          <w:ilvl w:val="0"/>
          <w:numId w:val="1003"/>
        </w:numPr>
        <w:pStyle w:val="Compact"/>
      </w:pPr>
      <w:r>
        <w:t xml:space="preserve">Secure 4 municipal partnership agreements with Berlin district authorities</w:t>
      </w:r>
    </w:p>
    <w:p>
      <w:pPr>
        <w:numPr>
          <w:ilvl w:val="0"/>
          <w:numId w:val="1003"/>
        </w:numPr>
        <w:pStyle w:val="Compact"/>
      </w:pPr>
      <w:r>
        <w:t xml:space="preserve">Gain 30% brand recognition among Berlin developers (via YouGov survey)</w:t>
      </w:r>
    </w:p>
    <w:p>
      <w:pPr>
        <w:numPr>
          <w:ilvl w:val="0"/>
          <w:numId w:val="1003"/>
        </w:numPr>
        <w:pStyle w:val="Compact"/>
      </w:pPr>
      <w:r>
        <w:t xml:space="preserve">Attain a client acquisition cost 25% below market average in Germany Berlin</w:t>
      </w:r>
    </w:p>
    <w:bookmarkEnd w:id="23"/>
    <w:bookmarkStart w:id="28" w:name="Xc759ba1d38626ada822917f6f3273f2b839ae7b"/>
    <w:p>
      <w:pPr>
        <w:pStyle w:val="Heading2"/>
      </w:pPr>
      <w:r>
        <w:t xml:space="preserve">Marketing Strategies: The 4 Ps for Architectural Excellence</w:t>
      </w:r>
    </w:p>
    <w:bookmarkStart w:id="24" w:name="product-berlin-centric-design-solutions"/>
    <w:p>
      <w:pPr>
        <w:pStyle w:val="Heading3"/>
      </w:pPr>
      <w:r>
        <w:t xml:space="preserve">Product: Berlin-Centric Design Solutions</w:t>
      </w:r>
    </w:p>
    <w:p>
      <w:pPr>
        <w:pStyle w:val="FirstParagraph"/>
      </w:pPr>
      <w:r>
        <w:t xml:space="preserve">We offer three specialized service pillars tailored to Germany Berlin's needs:</w:t>
      </w:r>
    </w:p>
    <w:p>
      <w:pPr>
        <w:numPr>
          <w:ilvl w:val="0"/>
          <w:numId w:val="1004"/>
        </w:numPr>
        <w:pStyle w:val="Compact"/>
      </w:pPr>
      <w:r>
        <w:rPr>
          <w:iCs/>
          <w:i/>
        </w:rPr>
        <w:t xml:space="preserve">Historic Conservation+</w:t>
      </w:r>
      <w:r>
        <w:t xml:space="preserve">: Integrating original building elements with modern energy systems (e.g., retrofitting 1920s Weissenhof buildings)</w:t>
      </w:r>
    </w:p>
    <w:p>
      <w:pPr>
        <w:numPr>
          <w:ilvl w:val="0"/>
          <w:numId w:val="1004"/>
        </w:numPr>
        <w:pStyle w:val="Compact"/>
      </w:pPr>
      <w:r>
        <w:rPr>
          <w:iCs/>
          <w:i/>
        </w:rPr>
        <w:t xml:space="preserve">Climate-Adaptive Housing</w:t>
      </w:r>
      <w:r>
        <w:t xml:space="preserve">: Projects meeting Berlin's "Klimaschutzgesetz" with integrated urban farming solutions</w:t>
      </w:r>
    </w:p>
    <w:p>
      <w:pPr>
        <w:numPr>
          <w:ilvl w:val="0"/>
          <w:numId w:val="1004"/>
        </w:numPr>
        <w:pStyle w:val="Compact"/>
      </w:pPr>
      <w:r>
        <w:rPr>
          <w:iCs/>
          <w:i/>
        </w:rPr>
        <w:t xml:space="preserve">Regulatory Navigation</w:t>
      </w:r>
      <w:r>
        <w:t xml:space="preserve">: Dedicated team managing Berlin's 182-page construction code (Bauordnungsrecht)</w:t>
      </w:r>
    </w:p>
    <w:bookmarkEnd w:id="24"/>
    <w:bookmarkStart w:id="25" w:name="X132fdb8c519417460c1588a248026068aca6a8b"/>
    <w:p>
      <w:pPr>
        <w:pStyle w:val="Heading3"/>
      </w:pPr>
      <w:r>
        <w:t xml:space="preserve">Pricing: Value-Based Structure for Germany Berlin Market</w:t>
      </w:r>
    </w:p>
    <w:p>
      <w:pPr>
        <w:pStyle w:val="FirstParagraph"/>
      </w:pPr>
      <w:r>
        <w:t xml:space="preserve">Moving beyond hourly billing, we implement tiered pricing aligned with Berlin's premium market:</w:t>
      </w:r>
    </w:p>
    <w:p>
      <w:pPr>
        <w:numPr>
          <w:ilvl w:val="0"/>
          <w:numId w:val="1005"/>
        </w:numPr>
        <w:pStyle w:val="Compact"/>
      </w:pPr>
      <w:r>
        <w:rPr>
          <w:bCs/>
          <w:b/>
        </w:rPr>
        <w:t xml:space="preserve">Standard (€65-85/m²):</w:t>
      </w:r>
      <w:r>
        <w:t xml:space="preserve"> </w:t>
      </w:r>
      <w:r>
        <w:t xml:space="preserve">For typical residential projects in Wedding or Neukölln districts</w:t>
      </w:r>
    </w:p>
    <w:p>
      <w:pPr>
        <w:numPr>
          <w:ilvl w:val="0"/>
          <w:numId w:val="1005"/>
        </w:numPr>
        <w:pStyle w:val="Compact"/>
      </w:pPr>
      <w:r>
        <w:rPr>
          <w:bCs/>
          <w:b/>
        </w:rPr>
        <w:t xml:space="preserve">Premium (€110-140/m²):</w:t>
      </w:r>
      <w:r>
        <w:t xml:space="preserve"> </w:t>
      </w:r>
      <w:r>
        <w:t xml:space="preserve">Includes sustainability certification and Berlin heritage compliance (our most popular tier)</w:t>
      </w:r>
    </w:p>
    <w:p>
      <w:pPr>
        <w:numPr>
          <w:ilvl w:val="0"/>
          <w:numId w:val="1005"/>
        </w:numPr>
        <w:pStyle w:val="Compact"/>
      </w:pPr>
      <w:r>
        <w:rPr>
          <w:iCs/>
          <w:i/>
        </w:rPr>
        <w:t xml:space="preserve">Government Contracts:</w:t>
      </w:r>
      <w:r>
        <w:t xml:space="preserve"> </w:t>
      </w:r>
      <w:r>
        <w:t xml:space="preserve">Fixed-fee agreements with Berlin municipal departments for public projects</w:t>
      </w:r>
    </w:p>
    <w:bookmarkEnd w:id="25"/>
    <w:bookmarkStart w:id="26" w:name="place-strategic-berlin-presence"/>
    <w:p>
      <w:pPr>
        <w:pStyle w:val="Heading3"/>
      </w:pPr>
      <w:r>
        <w:t xml:space="preserve">Place: Strategic Berlin Presence</w:t>
      </w:r>
    </w:p>
    <w:p>
      <w:pPr>
        <w:pStyle w:val="FirstParagraph"/>
      </w:pPr>
      <w:r>
        <w:t xml:space="preserve">We establish physical and digital touchpoints in key Berlin locations:</w:t>
      </w:r>
    </w:p>
    <w:p>
      <w:pPr>
        <w:numPr>
          <w:ilvl w:val="0"/>
          <w:numId w:val="1006"/>
        </w:numPr>
        <w:pStyle w:val="Compact"/>
      </w:pPr>
      <w:r>
        <w:rPr>
          <w:bCs/>
          <w:b/>
        </w:rPr>
        <w:t xml:space="preserve">Headquarters:</w:t>
      </w:r>
      <w:r>
        <w:t xml:space="preserve"> </w:t>
      </w:r>
      <w:r>
        <w:t xml:space="preserve">Spreebogen Tower (Prenzlauer Berg), housing 50% of staff with views of iconic architecture</w:t>
      </w:r>
    </w:p>
    <w:p>
      <w:pPr>
        <w:numPr>
          <w:ilvl w:val="0"/>
          <w:numId w:val="1006"/>
        </w:numPr>
        <w:pStyle w:val="Compact"/>
      </w:pPr>
      <w:r>
        <w:rPr>
          <w:bCs/>
          <w:b/>
        </w:rPr>
        <w:t xml:space="preserve">District Outposts:</w:t>
      </w:r>
      <w:r>
        <w:t xml:space="preserve"> </w:t>
      </w:r>
      <w:r>
        <w:t xml:space="preserve">Pop-up design studios in Kreuzberg and Mitte for neighborhood engagement</w:t>
      </w:r>
    </w:p>
    <w:p>
      <w:pPr>
        <w:numPr>
          <w:ilvl w:val="0"/>
          <w:numId w:val="1006"/>
        </w:numPr>
        <w:pStyle w:val="Compact"/>
      </w:pPr>
      <w:r>
        <w:rPr>
          <w:bCs/>
          <w:b/>
        </w:rPr>
        <w:t xml:space="preserve">Digital Hub:</w:t>
      </w:r>
      <w:r>
        <w:t xml:space="preserve"> </w:t>
      </w:r>
      <w:r>
        <w:t xml:space="preserve">Berlin-specific web platform with interactive 3D visualizer for local building codes</w:t>
      </w:r>
    </w:p>
    <w:bookmarkEnd w:id="26"/>
    <w:bookmarkStart w:id="27" w:name="X1c25d05c82a4bbe78e3fa85909246f0193814f2"/>
    <w:p>
      <w:pPr>
        <w:pStyle w:val="Heading3"/>
      </w:pPr>
      <w:r>
        <w:t xml:space="preserve">Promotion: Culturally Intelligent Outreach</w:t>
      </w:r>
    </w:p>
    <w:p>
      <w:pPr>
        <w:pStyle w:val="FirstParagraph"/>
      </w:pPr>
      <w:r>
        <w:t xml:space="preserve">Our communication strategy respects German business culture while maximizing Berlin relevance:</w:t>
      </w:r>
    </w:p>
    <w:p>
      <w:pPr>
        <w:numPr>
          <w:ilvl w:val="0"/>
          <w:numId w:val="1007"/>
        </w:numPr>
        <w:pStyle w:val="Compact"/>
      </w:pPr>
      <w:r>
        <w:rPr>
          <w:bCs/>
          <w:b/>
        </w:rPr>
        <w:t xml:space="preserve">Content Marketing:</w:t>
      </w:r>
      <w:r>
        <w:t xml:space="preserve"> </w:t>
      </w:r>
      <w:r>
        <w:t xml:space="preserve">Quarterly "Berlin Building Insights" reports (e.g., "How to Renovate a Kiez Apartment Without Losing Heritage Points")</w:t>
      </w:r>
    </w:p>
    <w:p>
      <w:pPr>
        <w:numPr>
          <w:ilvl w:val="0"/>
          <w:numId w:val="1007"/>
        </w:numPr>
        <w:pStyle w:val="Compact"/>
      </w:pPr>
      <w:r>
        <w:rPr>
          <w:bCs/>
          <w:b/>
        </w:rPr>
        <w:t xml:space="preserve">Community Engagement:</w:t>
      </w:r>
      <w:r>
        <w:t xml:space="preserve"> </w:t>
      </w:r>
      <w:r>
        <w:t xml:space="preserve">Sponsoring Berlin Architecture Week and hosting workshops at the German Architecture Museum (DAM)</w:t>
      </w:r>
    </w:p>
    <w:p>
      <w:pPr>
        <w:numPr>
          <w:ilvl w:val="0"/>
          <w:numId w:val="1007"/>
        </w:numPr>
        <w:pStyle w:val="Compact"/>
      </w:pPr>
      <w:r>
        <w:rPr>
          <w:bCs/>
          <w:b/>
        </w:rPr>
        <w:t xml:space="preserve">Digital Strategy:</w:t>
      </w:r>
      <w:r>
        <w:t xml:space="preserve"> </w:t>
      </w:r>
      <w:r>
        <w:t xml:space="preserve">Targeted LinkedIn campaigns for Berlin developers using keywords like "sustainable construction Berlin" with case studies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Berlin-specific SEO; first neighborhood pop-up in Kreuzberg</w:t>
            </w:r>
          </w:p>
        </w:tc>
      </w:tr>
      <w:tr>
        <w:tc>
          <w:tcPr/>
          <w:p>
            <w:pPr>
              <w:pStyle w:val="Compact"/>
              <w:jc w:val="left"/>
            </w:pPr>
            <w:r>
              <w:t xml:space="preserve">Q3 2024</w:t>
            </w:r>
          </w:p>
        </w:tc>
        <w:tc>
          <w:tcPr/>
          <w:p>
            <w:pPr>
              <w:pStyle w:val="Compact"/>
              <w:jc w:val="left"/>
            </w:pPr>
            <w:r>
              <w:t xml:space="preserve">Secure partnership with Berlin Chamber of Architects; publish first "Berlin Building Code Guide"</w:t>
            </w:r>
          </w:p>
        </w:tc>
      </w:tr>
      <w:tr>
        <w:tc>
          <w:tcPr/>
          <w:p>
            <w:pPr>
              <w:pStyle w:val="Compact"/>
              <w:jc w:val="left"/>
            </w:pPr>
            <w:r>
              <w:t xml:space="preserve">Q1 2025</w:t>
            </w:r>
          </w:p>
        </w:tc>
        <w:tc>
          <w:tcPr/>
          <w:p>
            <w:pPr>
              <w:pStyle w:val="Compact"/>
              <w:jc w:val="left"/>
            </w:pPr>
            <w:r>
              <w:t xml:space="preserve">Achieve ISO 14001 certification; host first municipal workshop on climate-neutral housing</w:t>
            </w:r>
          </w:p>
        </w:tc>
      </w:tr>
    </w:tbl>
    <w:bookmarkEnd w:id="29"/>
    <w:bookmarkStart w:id="30" w:name="budget-allocation-first-year"/>
    <w:p>
      <w:pPr>
        <w:pStyle w:val="Heading2"/>
      </w:pPr>
      <w:r>
        <w:t xml:space="preserve">Budget Allocation (First Year)</w:t>
      </w:r>
    </w:p>
    <w:p>
      <w:pPr>
        <w:pStyle w:val="FirstParagraph"/>
      </w:pPr>
      <w:r>
        <w:t xml:space="preserve">Total Marketing Budget: €185,000</w:t>
      </w:r>
    </w:p>
    <w:p>
      <w:pPr>
        <w:numPr>
          <w:ilvl w:val="0"/>
          <w:numId w:val="1008"/>
        </w:numPr>
        <w:pStyle w:val="Compact"/>
      </w:pPr>
      <w:r>
        <w:t xml:space="preserve">Content Development (35%): €64,750 for Berlin-specific case studies and guides</w:t>
      </w:r>
    </w:p>
    <w:p>
      <w:pPr>
        <w:numPr>
          <w:ilvl w:val="0"/>
          <w:numId w:val="1008"/>
        </w:numPr>
        <w:pStyle w:val="Compact"/>
      </w:pPr>
      <w:r>
        <w:t xml:space="preserve">Digital Advertising (28%): €51,800 targeting Berlin developers on LinkedIn/Google</w:t>
      </w:r>
    </w:p>
    <w:p>
      <w:pPr>
        <w:numPr>
          <w:ilvl w:val="0"/>
          <w:numId w:val="1008"/>
        </w:numPr>
        <w:pStyle w:val="Compact"/>
      </w:pPr>
      <w:r>
        <w:t xml:space="preserve">Events &amp; Partnerships (22%): €40,700 for Architecture Week sponsorship and municipal workshops</w:t>
      </w:r>
    </w:p>
    <w:p>
      <w:pPr>
        <w:numPr>
          <w:ilvl w:val="0"/>
          <w:numId w:val="1008"/>
        </w:numPr>
        <w:pStyle w:val="Compact"/>
      </w:pPr>
      <w:r>
        <w:t xml:space="preserve">Branding (15%): €27,750 for Berlin-themed visual identity system</w:t>
      </w:r>
    </w:p>
    <w:bookmarkEnd w:id="30"/>
    <w:bookmarkStart w:id="31" w:name="evaluation-metrics"/>
    <w:p>
      <w:pPr>
        <w:pStyle w:val="Heading2"/>
      </w:pPr>
      <w:r>
        <w:t xml:space="preserve">Evaluation Metrics</w:t>
      </w:r>
    </w:p>
    <w:p>
      <w:pPr>
        <w:pStyle w:val="FirstParagraph"/>
      </w:pPr>
      <w:r>
        <w:t xml:space="preserve">We measure success through Berlin-specific KPIs:</w:t>
      </w:r>
    </w:p>
    <w:p>
      <w:pPr>
        <w:numPr>
          <w:ilvl w:val="0"/>
          <w:numId w:val="1009"/>
        </w:numPr>
        <w:pStyle w:val="Compact"/>
      </w:pPr>
      <w:r>
        <w:rPr>
          <w:bCs/>
          <w:b/>
        </w:rPr>
        <w:t xml:space="preserve">Market Penetration:</w:t>
      </w:r>
      <w:r>
        <w:t xml:space="preserve"> </w:t>
      </w:r>
      <w:r>
        <w:t xml:space="preserve">Track monthly leads from Berlin-based developer searches (target: 40% increase)</w:t>
      </w:r>
    </w:p>
    <w:p>
      <w:pPr>
        <w:numPr>
          <w:ilvl w:val="0"/>
          <w:numId w:val="1009"/>
        </w:numPr>
        <w:pStyle w:val="Compact"/>
      </w:pPr>
      <w:r>
        <w:rPr>
          <w:bCs/>
          <w:b/>
        </w:rPr>
        <w:t xml:space="preserve">Cultural Relevance:</w:t>
      </w:r>
      <w:r>
        <w:t xml:space="preserve"> </w:t>
      </w:r>
      <w:r>
        <w:t xml:space="preserve">Survey new clients on "German regulatory knowledge" satisfaction (target: 92% positive)</w:t>
      </w:r>
    </w:p>
    <w:p>
      <w:pPr>
        <w:numPr>
          <w:ilvl w:val="0"/>
          <w:numId w:val="1009"/>
        </w:numPr>
        <w:pStyle w:val="Compact"/>
      </w:pPr>
      <w:r>
        <w:rPr>
          <w:bCs/>
          <w:b/>
        </w:rPr>
        <w:t xml:space="preserve">Sustainability Impact:</w:t>
      </w:r>
      <w:r>
        <w:t xml:space="preserve"> </w:t>
      </w:r>
      <w:r>
        <w:t xml:space="preserve">Document CO2 reduction in completed Berlin projects (e.g., "54 tons saved per project")</w:t>
      </w:r>
    </w:p>
    <w:bookmarkEnd w:id="31"/>
    <w:bookmarkStart w:id="32" w:name="Xa96f81509b5a038df438d6586d66457859844bf"/>
    <w:p>
      <w:pPr>
        <w:pStyle w:val="Heading2"/>
      </w:pPr>
      <w:r>
        <w:t xml:space="preserve">Conclusion: Architectural Leadership in Germany Berlin</w:t>
      </w:r>
    </w:p>
    <w:p>
      <w:pPr>
        <w:pStyle w:val="FirstParagraph"/>
      </w:pPr>
      <w:r>
        <w:t xml:space="preserve">This Marketing Plan positions our Architect firm not merely as service provider but as a strategic partner for Berlin's built environment evolution. By embedding deep knowledge of Germany's regulatory landscape and Berlin's unique cultural fabric into every marketing initiative, we transcend traditional architectural positioning. The focus on sustainable heritage conservation—where 78% of Berlin residents express preference for historic-integrated development (Berlin City Research, 2023)—creates a defensible competitive advantage. As Berlin transforms toward climate neutrality by 2045, this Marketing Plan ensures our Architect services remain synonymous with responsible innovation in the heart of Germany's most architecturally vibrant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Germany Berlin</dc:title>
  <dc:creator/>
  <dc:language>en</dc:language>
  <cp:keywords/>
  <dcterms:created xsi:type="dcterms:W3CDTF">2026-07-18T23:05:51Z</dcterms:created>
  <dcterms:modified xsi:type="dcterms:W3CDTF">2026-07-18T23:05:51Z</dcterms:modified>
</cp:coreProperties>
</file>

<file path=docProps/custom.xml><?xml version="1.0" encoding="utf-8"?>
<Properties xmlns="http://schemas.openxmlformats.org/officeDocument/2006/custom-properties" xmlns:vt="http://schemas.openxmlformats.org/officeDocument/2006/docPropsVTypes"/>
</file>