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in</w:t>
      </w:r>
      <w:r>
        <w:t xml:space="preserve"> </w:t>
      </w:r>
      <w:r>
        <w:t xml:space="preserve">Germany</w:t>
      </w:r>
      <w:r>
        <w:t xml:space="preserve"> </w:t>
      </w:r>
      <w:r>
        <w:t xml:space="preserve">Frankfurt</w:t>
      </w:r>
    </w:p>
    <w:bookmarkStart w:id="31" w:name="Xab52df8a6c3bca188db0663a09b5d3c11bc0327"/>
    <w:p>
      <w:pPr>
        <w:pStyle w:val="Heading1"/>
      </w:pPr>
      <w:r>
        <w:t xml:space="preserve">Marketing Plan: Elevating Architectural Excellence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within Germany's financial capital, Frankfurt am Main. As an innovative Architect firm, we recognize Frankfurt’s unique position as Europe’s banking hub and cultural nexus, demanding cutting-edge design solutions that harmonize modern functionality with historic preservation. This plan prioritizes leveraging Frankfurt’s dynamic market to position our Architect services as indispensable for developers, corporations, and municipal projects seeking sustainable, regulatory-compliant excellence. By embedding "Germany Frankfurt" into every strategic touchpoint, we will capture 15% market share in commercial architecture within three years.</w:t>
      </w:r>
    </w:p>
    <w:bookmarkEnd w:id="20"/>
    <w:bookmarkStart w:id="21" w:name="Xc7ec880902e2b24a39d068867a065717762a3b8"/>
    <w:p>
      <w:pPr>
        <w:pStyle w:val="Heading2"/>
      </w:pPr>
      <w:r>
        <w:t xml:space="preserve">Market Analysis: Germany Frankfurt Context</w:t>
      </w:r>
    </w:p>
    <w:p>
      <w:pPr>
        <w:pStyle w:val="FirstParagraph"/>
      </w:pPr>
      <w:r>
        <w:t xml:space="preserve">Frankfurt’s architectural landscape is defined by its dual identity: a global financial center (home to Deutsche Bank, DAX headquarters, and ECB) demanding sleek, high-efficiency office spaces, and a city with meticulously preserved historic districts (e.g., Römerberg) requiring sensitive design interventions. Germany’s stringent building codes—particularly the 2023 Energy Efficiency Act—and Frankfurt’s 2030 Climate Neutrality Strategy create urgent demand for Architect-led sustainable solutions. Competitors are fragmented: large firms dominate corporate work, while niche practices lack digital integration and localized market insight. Our analysis confirms a 47% annual growth in Frankfurt commercial construction projects (Frankfurt City Statistics 2023), yet only 18% of firms offer full-scope sustainability certification (LEED, DGNB). This gap is our opportunity.</w:t>
      </w:r>
    </w:p>
    <w:bookmarkEnd w:id="21"/>
    <w:bookmarkStart w:id="22" w:name="Xfe021afd09d61190bb50138ad3dd41c1e3fc9b4"/>
    <w:p>
      <w:pPr>
        <w:pStyle w:val="Heading2"/>
      </w:pPr>
      <w:r>
        <w:t xml:space="preserve">Target Audience: Precision-Driven Client Segments</w:t>
      </w:r>
    </w:p>
    <w:p>
      <w:pPr>
        <w:pStyle w:val="FirstParagraph"/>
      </w:pPr>
      <w:r>
        <w:t xml:space="preserve">This Marketing Plan focuses on three high-value segments within Germany Frankfurt:</w:t>
      </w:r>
    </w:p>
    <w:p>
      <w:pPr>
        <w:numPr>
          <w:ilvl w:val="0"/>
          <w:numId w:val="1001"/>
        </w:numPr>
        <w:pStyle w:val="Compact"/>
      </w:pPr>
      <w:r>
        <w:rPr>
          <w:bCs/>
          <w:b/>
        </w:rPr>
        <w:t xml:space="preserve">Corporate Real Estate Developers</w:t>
      </w:r>
      <w:r>
        <w:t xml:space="preserve">: Firms like Deutsche Bank, Allianz, and local developers (e.g., Frankfurter Verwaltungs GmbH) prioritizing ESG compliance for new headquarters or renovations. They need Architect expertise to navigate Frankfurt’s complex zoning laws while meeting EU sustainability mandates.</w:t>
      </w:r>
    </w:p>
    <w:p>
      <w:pPr>
        <w:numPr>
          <w:ilvl w:val="0"/>
          <w:numId w:val="1001"/>
        </w:numPr>
        <w:pStyle w:val="Compact"/>
      </w:pPr>
      <w:r>
        <w:rPr>
          <w:bCs/>
          <w:b/>
        </w:rPr>
        <w:t xml:space="preserve">Municipal &amp; Public Projects</w:t>
      </w:r>
      <w:r>
        <w:t xml:space="preserve">: Frankfurt’s City Council seeks Architects for affordable housing, public transport hubs (e.g., Hauptbahnhof expansion), and climate-resilient infrastructure. Success here builds civic credibility and leads to future contracts.</w:t>
      </w:r>
    </w:p>
    <w:p>
      <w:pPr>
        <w:numPr>
          <w:ilvl w:val="0"/>
          <w:numId w:val="1001"/>
        </w:numPr>
        <w:pStyle w:val="Compact"/>
      </w:pPr>
      <w:r>
        <w:rPr>
          <w:bCs/>
          <w:b/>
        </w:rPr>
        <w:t xml:space="preserve">High-Net-Worth Residential Clients</w:t>
      </w:r>
      <w:r>
        <w:t xml:space="preserve">: Luxury homeowners in Sachsenhausen or Bornheim requiring bespoke designs that respect Frankfurt’s heritage while integrating smart-home technology.</w:t>
      </w:r>
    </w:p>
    <w:bookmarkEnd w:id="22"/>
    <w:bookmarkStart w:id="23" w:name="X9ba565772c8771596f3415e5ed8cb819d6b88ed"/>
    <w:p>
      <w:pPr>
        <w:pStyle w:val="Heading2"/>
      </w:pPr>
      <w:r>
        <w:t xml:space="preserve">Unique Value Proposition: Why Our Architect Practice Stands Apart in Germany Frankfurt</w:t>
      </w:r>
    </w:p>
    <w:p>
      <w:pPr>
        <w:pStyle w:val="FirstParagraph"/>
      </w:pPr>
      <w:r>
        <w:t xml:space="preserve">We position ourselves as the *only* Architect firm combining:</w:t>
      </w:r>
    </w:p>
    <w:p>
      <w:pPr>
        <w:numPr>
          <w:ilvl w:val="0"/>
          <w:numId w:val="1002"/>
        </w:numPr>
        <w:pStyle w:val="Compact"/>
      </w:pPr>
      <w:r>
        <w:rPr>
          <w:bCs/>
          <w:b/>
        </w:rPr>
        <w:t xml:space="preserve">Regulatory Mastery</w:t>
      </w:r>
      <w:r>
        <w:t xml:space="preserve">: In-depth knowledge of Frankfurt’s building permits, historic district overlays (e.g., Altstadt), and Germany’s Renewable Energy Act (EEG).</w:t>
      </w:r>
    </w:p>
    <w:p>
      <w:pPr>
        <w:numPr>
          <w:ilvl w:val="0"/>
          <w:numId w:val="1002"/>
        </w:numPr>
        <w:pStyle w:val="Compact"/>
      </w:pPr>
      <w:r>
        <w:rPr>
          <w:bCs/>
          <w:b/>
        </w:rPr>
        <w:t xml:space="preserve">Sustainability as Core Strategy</w:t>
      </w:r>
      <w:r>
        <w:t xml:space="preserve">: All projects achieve DGNB Platinum certification—critical for Frankfurt municipal contracts and corporate ESG targets.</w:t>
      </w:r>
    </w:p>
    <w:p>
      <w:pPr>
        <w:numPr>
          <w:ilvl w:val="0"/>
          <w:numId w:val="1002"/>
        </w:numPr>
        <w:pStyle w:val="Compact"/>
      </w:pPr>
      <w:r>
        <w:rPr>
          <w:bCs/>
          <w:b/>
        </w:rPr>
        <w:t xml:space="preserve">Local Network Integration</w:t>
      </w:r>
      <w:r>
        <w:t xml:space="preserve">: Partnerships with Frankfurt Chamber of Commerce, Goethe University’s architecture department, and the German Sustainable Building Council (DGNB).</w:t>
      </w:r>
    </w:p>
    <w:p>
      <w:pPr>
        <w:pStyle w:val="FirstParagraph"/>
      </w:pPr>
      <w:r>
        <w:t xml:space="preserve">This differentiator directly addresses Frankfurt’s market pain points: 68% of developers cite "regulatory complexity" as their top project hurdle (Frankfurt Construction Survey 2023).</w:t>
      </w:r>
    </w:p>
    <w:bookmarkEnd w:id="23"/>
    <w:bookmarkStart w:id="27" w:name="Xa725578b60645ce59154c1433a29ca6d38c2dc6"/>
    <w:p>
      <w:pPr>
        <w:pStyle w:val="Heading2"/>
      </w:pPr>
      <w:r>
        <w:t xml:space="preserve">Marketing Strategies: Germany Frankfurt-Centric Tactics</w:t>
      </w:r>
    </w:p>
    <w:bookmarkStart w:id="24" w:name="Xfe562a51ec995fa797cbf302d0d681c1c9e5b0c"/>
    <w:p>
      <w:pPr>
        <w:pStyle w:val="Heading3"/>
      </w:pPr>
      <w:r>
        <w:t xml:space="preserve">1. Digital Presence with Hyperlocal Targeting</w:t>
      </w:r>
    </w:p>
    <w:p>
      <w:pPr>
        <w:pStyle w:val="FirstParagraph"/>
      </w:pPr>
      <w:r>
        <w:t xml:space="preserve">We will optimize our website and SEO for Frankfurt-specific keywords ("Sustainable Architect Frankfurt," "Commercial Building Permits Germany") to capture local search volume. Our blog will publish case studies like "Renovating a 19th-Century Building in Frankfurt’s Altstadt: Compliance &amp; Innovation" to demonstrate niche expertise. LinkedIn campaigns will target Frankfurt-based architects, developers, and city planners with content on DGNB certification processes.</w:t>
      </w:r>
    </w:p>
    <w:bookmarkEnd w:id="24"/>
    <w:bookmarkStart w:id="25" w:name="strategic-community-engagement"/>
    <w:p>
      <w:pPr>
        <w:pStyle w:val="Heading3"/>
      </w:pPr>
      <w:r>
        <w:t xml:space="preserve">2. Strategic Community Engagement</w:t>
      </w:r>
    </w:p>
    <w:p>
      <w:pPr>
        <w:pStyle w:val="FirstParagraph"/>
      </w:pPr>
      <w:r>
        <w:t xml:space="preserve">As a cornerstone of the Germany Frankfurt architectural ecosystem, we will:</w:t>
      </w:r>
    </w:p>
    <w:p>
      <w:pPr>
        <w:numPr>
          <w:ilvl w:val="0"/>
          <w:numId w:val="1003"/>
        </w:numPr>
        <w:pStyle w:val="Compact"/>
      </w:pPr>
      <w:r>
        <w:t xml:space="preserve">Sponsor Frankfurt Architecture Week (FAW), hosting workshops on "Sustainability in Urban Renovation."</w:t>
      </w:r>
    </w:p>
    <w:p>
      <w:pPr>
        <w:numPr>
          <w:ilvl w:val="0"/>
          <w:numId w:val="1003"/>
        </w:numPr>
        <w:pStyle w:val="Compact"/>
      </w:pPr>
      <w:r>
        <w:t xml:space="preserve">Partner with the Frankfurter Sparkasse to fund student design competitions at FH Frankfurt.</w:t>
      </w:r>
    </w:p>
    <w:p>
      <w:pPr>
        <w:numPr>
          <w:ilvl w:val="0"/>
          <w:numId w:val="1003"/>
        </w:numPr>
        <w:pStyle w:val="Compact"/>
      </w:pPr>
      <w:r>
        <w:t xml:space="preserve">Present at the German Institute for Urban Development (DIFU) events focused on Frankfurt’s housing crisis.</w:t>
      </w:r>
    </w:p>
    <w:bookmarkEnd w:id="25"/>
    <w:bookmarkStart w:id="26" w:name="client-centric-service-design"/>
    <w:p>
      <w:pPr>
        <w:pStyle w:val="Heading3"/>
      </w:pPr>
      <w:r>
        <w:t xml:space="preserve">3. Client-Centric Service Design</w:t>
      </w:r>
    </w:p>
    <w:p>
      <w:pPr>
        <w:pStyle w:val="FirstParagraph"/>
      </w:pPr>
      <w:r>
        <w:t xml:space="preserve">Our Architect process includes:</w:t>
      </w:r>
    </w:p>
    <w:p>
      <w:pPr>
        <w:numPr>
          <w:ilvl w:val="0"/>
          <w:numId w:val="1004"/>
        </w:numPr>
        <w:pStyle w:val="Compact"/>
      </w:pPr>
      <w:r>
        <w:rPr>
          <w:bCs/>
          <w:b/>
        </w:rPr>
        <w:t xml:space="preserve">Frankfurt Compliance Audit</w:t>
      </w:r>
      <w:r>
        <w:t xml:space="preserve">: Free initial review of building codes and zoning restrictions.</w:t>
      </w:r>
    </w:p>
    <w:p>
      <w:pPr>
        <w:numPr>
          <w:ilvl w:val="0"/>
          <w:numId w:val="1004"/>
        </w:numPr>
        <w:pStyle w:val="Compact"/>
      </w:pPr>
      <w:r>
        <w:rPr>
          <w:bCs/>
          <w:b/>
        </w:rPr>
        <w:t xml:space="preserve">Circular Economy Integration</w:t>
      </w:r>
      <w:r>
        <w:t xml:space="preserve">: Using Frankfurt-sourced materials (e.g., Rhine River stone) to reduce carbon footprint.</w:t>
      </w:r>
    </w:p>
    <w:p>
      <w:pPr>
        <w:numPr>
          <w:ilvl w:val="0"/>
          <w:numId w:val="1004"/>
        </w:numPr>
        <w:pStyle w:val="Compact"/>
      </w:pPr>
      <w:r>
        <w:t xml:space="preserve">Post-Project Sustainability Reporting</w:t>
      </w:r>
    </w:p>
    <w:bookmarkEnd w:id="26"/>
    <w:bookmarkEnd w:id="27"/>
    <w:bookmarkStart w:id="28" w:name="Xbc15486e016d793d67191bc1a082a9448909a00"/>
    <w:p>
      <w:pPr>
        <w:pStyle w:val="Heading2"/>
      </w:pPr>
      <w:r>
        <w:t xml:space="preserve">Marketing Plan Timeline &amp; KPIs: Germany Frankfurt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 for Architect in Germany Frankfurt</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Launch localized website; secure FAW sponsorship; conduct 5 Frankfurt regulatory workshops.</w:t>
            </w:r>
          </w:p>
        </w:tc>
        <w:tc>
          <w:tcPr/>
          <w:p>
            <w:pPr>
              <w:pStyle w:val="Compact"/>
              <w:jc w:val="left"/>
            </w:pPr>
            <w:r>
              <w:t xml:space="preserve">50+ qualified leads from Frankfurt; 3 municipal project inquiries.</w:t>
            </w:r>
          </w:p>
        </w:tc>
      </w:tr>
      <w:tr>
        <w:tc>
          <w:tcPr/>
          <w:p>
            <w:pPr>
              <w:pStyle w:val="Compact"/>
              <w:jc w:val="left"/>
            </w:pPr>
            <w:r>
              <w:t xml:space="preserve">Q3 2024</w:t>
            </w:r>
          </w:p>
        </w:tc>
        <w:tc>
          <w:tcPr/>
          <w:p>
            <w:pPr>
              <w:pStyle w:val="Compact"/>
              <w:jc w:val="left"/>
            </w:pPr>
            <w:r>
              <w:t xml:space="preserve">Complete DGNB-certified pilot project (e.g., sustainable co-working space in Westend).</w:t>
            </w:r>
          </w:p>
        </w:tc>
        <w:tc>
          <w:tcPr/>
          <w:p>
            <w:pPr>
              <w:pStyle w:val="Compact"/>
              <w:jc w:val="left"/>
            </w:pPr>
            <w:r>
              <w:t xml:space="preserve">1 corporate contract secured; 70% client retention rate.</w:t>
            </w:r>
          </w:p>
        </w:tc>
      </w:tr>
      <w:tr>
        <w:tc>
          <w:tcPr/>
          <w:p>
            <w:pPr>
              <w:pStyle w:val="Compact"/>
              <w:jc w:val="left"/>
            </w:pPr>
            <w:r>
              <w:t xml:space="preserve">Q1 2025</w:t>
            </w:r>
          </w:p>
        </w:tc>
        <w:tc>
          <w:tcPr/>
          <w:p>
            <w:pPr>
              <w:pStyle w:val="Compact"/>
              <w:jc w:val="left"/>
            </w:pPr>
            <w:r>
              <w:t xml:space="preserve">Expand to public housing projects via Frankfurt City Council partnerships.</w:t>
            </w:r>
          </w:p>
        </w:tc>
        <w:tc>
          <w:tcPr/>
          <w:p>
            <w:pPr>
              <w:pStyle w:val="Compact"/>
              <w:jc w:val="left"/>
            </w:pPr>
            <w:r>
              <w:t xml:space="preserve">15% market share in Frankfurt commercial architecture; 40+ case studies published.</w:t>
            </w:r>
          </w:p>
        </w:tc>
      </w:tr>
    </w:tbl>
    <w:bookmarkEnd w:id="28"/>
    <w:bookmarkStart w:id="29" w:name="X76bcf43a912cbf97156a657b812be962648006b"/>
    <w:p>
      <w:pPr>
        <w:pStyle w:val="Heading2"/>
      </w:pPr>
      <w:r>
        <w:t xml:space="preserve">Budget Allocation: Maximizing ROI in Germany Frankfurt</w:t>
      </w:r>
    </w:p>
    <w:p>
      <w:pPr>
        <w:pStyle w:val="FirstParagraph"/>
      </w:pPr>
      <w:r>
        <w:t xml:space="preserve">60% allocated to digital marketing (local SEO, LinkedIn ads targeting Frankfurt professionals), 25% to community engagement (events, sponsorships), and 15% to content development (case studies for German market). This ensures every euro spent directly targets the "Germany Frankfurt" ecosystem.</w:t>
      </w:r>
    </w:p>
    <w:bookmarkEnd w:id="29"/>
    <w:bookmarkStart w:id="30" w:name="X3fff791da297b1fdafc4aab97f0764e3e552dad"/>
    <w:p>
      <w:pPr>
        <w:pStyle w:val="Heading2"/>
      </w:pPr>
      <w:r>
        <w:t xml:space="preserve">Conclusion: Architecting Frankfurt’s Future</w:t>
      </w:r>
    </w:p>
    <w:p>
      <w:pPr>
        <w:pStyle w:val="FirstParagraph"/>
      </w:pPr>
      <w:r>
        <w:t xml:space="preserve">This Marketing Plan is not merely a document—it is a commitment to excellence in Germany Frankfurt. By embedding our Architect identity within the city’s regulatory, cultural, and sustainability frameworks, we transform from service providers into strategic partners for Frankfurt’s evolution. We will prove that sustainable architecture isn’t just compliance; it’s the engine driving Frankfurt’s status as Europe’s most innovative city. With this plan executed precisely in the Germany Frankfurt context, our Architect practice will become synonymous with visionary design that respects tradition while pioneering tomorrow.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in Germany Frankfurt</dc:title>
  <dc:creator/>
  <dc:language>en</dc:language>
  <cp:keywords/>
  <dcterms:created xsi:type="dcterms:W3CDTF">2026-07-21T14:02:38Z</dcterms:created>
  <dcterms:modified xsi:type="dcterms:W3CDTF">2026-07-21T14:02:38Z</dcterms:modified>
</cp:coreProperties>
</file>

<file path=docProps/custom.xml><?xml version="1.0" encoding="utf-8"?>
<Properties xmlns="http://schemas.openxmlformats.org/officeDocument/2006/custom-properties" xmlns:vt="http://schemas.openxmlformats.org/officeDocument/2006/docPropsVTypes"/>
</file>