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c55db4934dcae95a77fc01fe86ec1384f4c9637"/>
    <w:p>
      <w:pPr>
        <w:pStyle w:val="Heading1"/>
      </w:pPr>
      <w:r>
        <w:t xml:space="preserve">Comprehensive Marketing Plan: Premium Architect Services for the Munich, Germany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architectural practice targeting Munich, Germany's dynamic urban landscape. As the capital of Bavaria and a global hub for innovation, Munich presents unparalleled opportunities for an Architect to capture high-value clients in residential, commercial, and sustainable development sectors. Our plan leverages Munich's unique market demands—combining historic preservation with cutting-edge sustainability—to position our firm as the leading choice for forward-thinking projects across Germany Munich. This document details actionable strategies to achieve 30% market penetration within key segments within three years.</w:t>
      </w:r>
    </w:p>
    <w:bookmarkEnd w:id="20"/>
    <w:bookmarkStart w:id="21" w:name="market-analysis-munich-germany-context"/>
    <w:p>
      <w:pPr>
        <w:pStyle w:val="Heading2"/>
      </w:pPr>
      <w:r>
        <w:t xml:space="preserve">Market Analysis: Munich, Germany Context</w:t>
      </w:r>
    </w:p>
    <w:p>
      <w:pPr>
        <w:pStyle w:val="FirstParagraph"/>
      </w:pPr>
      <w:r>
        <w:t xml:space="preserve">Munich's architecture market is defined by its duality: a city where Baroque landmarks coexist with state-of-the-art eco-developments. With over 1.5 million residents and 40,000+ annual construction permits (Munich City Planning Office, 2023), the demand for innovative Architect services is surging. Key drivers include:</w:t>
      </w:r>
    </w:p>
    <w:p>
      <w:pPr>
        <w:numPr>
          <w:ilvl w:val="0"/>
          <w:numId w:val="1001"/>
        </w:numPr>
        <w:pStyle w:val="Compact"/>
      </w:pPr>
      <w:r>
        <w:rPr>
          <w:bCs/>
          <w:b/>
        </w:rPr>
        <w:t xml:space="preserve">Green Building Mandates:</w:t>
      </w:r>
      <w:r>
        <w:t xml:space="preserve"> </w:t>
      </w:r>
      <w:r>
        <w:t xml:space="preserve">Germany's stringent Energy Efficiency Act (GEG) requires all new constructions to meet 50% renewable energy by 2030, creating urgent demand for sustainable Architect expertise.</w:t>
      </w:r>
    </w:p>
    <w:p>
      <w:pPr>
        <w:numPr>
          <w:ilvl w:val="0"/>
          <w:numId w:val="1001"/>
        </w:numPr>
        <w:pStyle w:val="Compact"/>
      </w:pPr>
      <w:r>
        <w:rPr>
          <w:bCs/>
          <w:b/>
        </w:rPr>
        <w:t xml:space="preserve">Economic Strength:</w:t>
      </w:r>
      <w:r>
        <w:t xml:space="preserve"> </w:t>
      </w:r>
      <w:r>
        <w:t xml:space="preserve">Munich ranks as Germany's second-most prosperous city (2023 IMF data), with top-tier corporate HQs and luxury residential clients seeking premium design solutions.</w:t>
      </w:r>
    </w:p>
    <w:p>
      <w:pPr>
        <w:numPr>
          <w:ilvl w:val="0"/>
          <w:numId w:val="1001"/>
        </w:numPr>
        <w:pStyle w:val="Compact"/>
      </w:pPr>
      <w:r>
        <w:rPr>
          <w:bCs/>
          <w:b/>
        </w:rPr>
        <w:t xml:space="preserve">Cultural Sensitivity:</w:t>
      </w:r>
      <w:r>
        <w:t xml:space="preserve"> </w:t>
      </w:r>
      <w:r>
        <w:t xml:space="preserve">Historic preservation laws necessitate Architects who understand Munich's architectural heritage (e.g., Ruhmeshalle, Residenzschloss) while innovating within regulatory frameworks.</w:t>
      </w:r>
    </w:p>
    <w:bookmarkEnd w:id="21"/>
    <w:bookmarkStart w:id="22" w:name="competitor-landscape"/>
    <w:p>
      <w:pPr>
        <w:pStyle w:val="Heading2"/>
      </w:pPr>
      <w:r>
        <w:t xml:space="preserve">Competitor Landscape</w:t>
      </w:r>
    </w:p>
    <w:p>
      <w:pPr>
        <w:pStyle w:val="FirstParagraph"/>
      </w:pPr>
      <w:r>
        <w:t xml:space="preserve">The Munich Architect market features three key segments:</w:t>
      </w:r>
    </w:p>
    <w:p>
      <w:pPr>
        <w:numPr>
          <w:ilvl w:val="0"/>
          <w:numId w:val="1002"/>
        </w:numPr>
        <w:pStyle w:val="Compact"/>
      </w:pPr>
      <w:r>
        <w:rPr>
          <w:bCs/>
          <w:b/>
        </w:rPr>
        <w:t xml:space="preserve">National Chains:</w:t>
      </w:r>
      <w:r>
        <w:t xml:space="preserve"> </w:t>
      </w:r>
      <w:r>
        <w:t xml:space="preserve">Firms like HPP Architekten dominate large commercial projects but lack personalized service.</w:t>
      </w:r>
    </w:p>
    <w:p>
      <w:pPr>
        <w:numPr>
          <w:ilvl w:val="0"/>
          <w:numId w:val="1002"/>
        </w:numPr>
        <w:pStyle w:val="Compact"/>
      </w:pPr>
      <w:r>
        <w:rPr>
          <w:bCs/>
          <w:b/>
        </w:rPr>
        <w:t xml:space="preserve">Sole Practitioners:</w:t>
      </w:r>
      <w:r>
        <w:t xml:space="preserve"> </w:t>
      </w:r>
      <w:r>
        <w:t xml:space="preserve">65% of local Architects operate solo, struggling with marketing scale and complex project management.</w:t>
      </w:r>
    </w:p>
    <w:p>
      <w:pPr>
        <w:numPr>
          <w:ilvl w:val="0"/>
          <w:numId w:val="1002"/>
        </w:numPr>
        <w:pStyle w:val="Compact"/>
      </w:pPr>
      <w:r>
        <w:rPr>
          <w:bCs/>
          <w:b/>
        </w:rPr>
        <w:t xml:space="preserve">Sustainability Specialists:</w:t>
      </w:r>
      <w:r>
        <w:t xml:space="preserve"> </w:t>
      </w:r>
      <w:r>
        <w:t xml:space="preserve">Niche firms like GRAFT focus exclusively on eco-design but lack holistic urban planning capabilities.</w:t>
      </w:r>
    </w:p>
    <w:p>
      <w:pPr>
        <w:pStyle w:val="FirstParagraph"/>
      </w:pPr>
      <w:r>
        <w:t xml:space="preserve">Our competitive edge lies in merging Bavarian cultural expertise with German sustainability standards—a gap no competitor fully addresses. Unlike national chains, we offer hyper-localized solutions; unlike sole practitioners, we deliver enterprise-grade project management for Munich's high-complexity developments.</w:t>
      </w:r>
    </w:p>
    <w:bookmarkEnd w:id="22"/>
    <w:bookmarkStart w:id="23" w:name="target-audience-segmentation"/>
    <w:p>
      <w:pPr>
        <w:pStyle w:val="Heading2"/>
      </w:pPr>
      <w:r>
        <w:t xml:space="preserve">Target Audience Segmentation</w:t>
      </w:r>
    </w:p>
    <w:p>
      <w:pPr>
        <w:pStyle w:val="FirstParagraph"/>
      </w:pPr>
      <w:r>
        <w:t xml:space="preserve">We prioritize three high-value segments within Germany Munich:</w:t>
      </w:r>
    </w:p>
    <w:p>
      <w:pPr>
        <w:numPr>
          <w:ilvl w:val="0"/>
          <w:numId w:val="1003"/>
        </w:numPr>
        <w:pStyle w:val="Compact"/>
      </w:pPr>
      <w:r>
        <w:rPr>
          <w:bCs/>
          <w:b/>
        </w:rPr>
        <w:t xml:space="preserve">High-Net-Worth Individuals (HNWIs):</w:t>
      </w:r>
      <w:r>
        <w:t xml:space="preserve"> </w:t>
      </w:r>
      <w:r>
        <w:t xml:space="preserve">Munich’s 8,500+ UHNWIs seeking custom luxury homes in districts like Pasing or Schwabing. They demand Architect services that blend historic aesthetics with smart-home tech.</w:t>
      </w:r>
    </w:p>
    <w:p>
      <w:pPr>
        <w:numPr>
          <w:ilvl w:val="0"/>
          <w:numId w:val="1003"/>
        </w:numPr>
        <w:pStyle w:val="Compact"/>
      </w:pPr>
      <w:r>
        <w:rPr>
          <w:bCs/>
          <w:b/>
        </w:rPr>
        <w:t xml:space="preserve">Corporate Developers:</w:t>
      </w:r>
      <w:r>
        <w:t xml:space="preserve"> </w:t>
      </w:r>
      <w:r>
        <w:t xml:space="preserve">Firms like Deutsche Wohnen and BMW Group requiring sustainable office complexes (e.g., near Munich Airport expansion zones). Budget: €500k–€2M+ per project.</w:t>
      </w:r>
    </w:p>
    <w:p>
      <w:pPr>
        <w:numPr>
          <w:ilvl w:val="0"/>
          <w:numId w:val="1003"/>
        </w:numPr>
        <w:pStyle w:val="Compact"/>
      </w:pPr>
      <w:r>
        <w:rPr>
          <w:bCs/>
          <w:b/>
        </w:rPr>
        <w:t xml:space="preserve">Public Sector Initiatives:</w:t>
      </w:r>
      <w:r>
        <w:t xml:space="preserve"> </w:t>
      </w:r>
      <w:r>
        <w:t xml:space="preserve">City of Munich’s "Green City 2035" program funding eco-renovations of public buildings. Contract value: €1–€10M.</w:t>
      </w:r>
    </w:p>
    <w:bookmarkEnd w:id="23"/>
    <w:bookmarkStart w:id="24" w:name="marketing-objectives-year-1"/>
    <w:p>
      <w:pPr>
        <w:pStyle w:val="Heading2"/>
      </w:pPr>
      <w:r>
        <w:t xml:space="preserve">Marketing Objectives (Year 1)</w:t>
      </w:r>
    </w:p>
    <w:p>
      <w:pPr>
        <w:pStyle w:val="FirstParagraph"/>
      </w:pPr>
      <w:r>
        <w:t xml:space="preserve">By Q4 2025, achieve:</w:t>
      </w:r>
    </w:p>
    <w:p>
      <w:pPr>
        <w:numPr>
          <w:ilvl w:val="0"/>
          <w:numId w:val="1004"/>
        </w:numPr>
        <w:pStyle w:val="Compact"/>
      </w:pPr>
      <w:r>
        <w:rPr>
          <w:bCs/>
          <w:b/>
        </w:rPr>
        <w:t xml:space="preserve">Brand Awareness:</w:t>
      </w:r>
      <w:r>
        <w:t xml:space="preserve"> </w:t>
      </w:r>
      <w:r>
        <w:t xml:space="preserve">Reach 75% of target Munich firms via localized digital campaigns.</w:t>
      </w:r>
    </w:p>
    <w:p>
      <w:pPr>
        <w:numPr>
          <w:ilvl w:val="0"/>
          <w:numId w:val="1004"/>
        </w:numPr>
        <w:pStyle w:val="Compact"/>
      </w:pPr>
      <w:r>
        <w:rPr>
          <w:bCs/>
          <w:b/>
        </w:rPr>
        <w:t xml:space="preserve">Lead Generation:</w:t>
      </w:r>
      <w:r>
        <w:t xml:space="preserve"> </w:t>
      </w:r>
      <w:r>
        <w:t xml:space="preserve">Secure 40 qualified project inquiries monthly through Munich-specific channels.</w:t>
      </w:r>
    </w:p>
    <w:p>
      <w:pPr>
        <w:numPr>
          <w:ilvl w:val="0"/>
          <w:numId w:val="1004"/>
        </w:numPr>
        <w:pStyle w:val="Compact"/>
      </w:pPr>
      <w:r>
        <w:rPr>
          <w:bCs/>
          <w:b/>
        </w:rPr>
        <w:t xml:space="preserve">Market Share:</w:t>
      </w:r>
      <w:r>
        <w:t xml:space="preserve"> </w:t>
      </w:r>
      <w:r>
        <w:t xml:space="preserve">Capture 12% of sustainable residential projects in Munich’s premium segment (€500k+).</w:t>
      </w:r>
    </w:p>
    <w:bookmarkEnd w:id="24"/>
    <w:bookmarkStart w:id="28" w:name="marketing-strategies-tactics"/>
    <w:p>
      <w:pPr>
        <w:pStyle w:val="Heading2"/>
      </w:pPr>
      <w:r>
        <w:t xml:space="preserve">Marketing Strategies &amp; Tactics</w:t>
      </w:r>
    </w:p>
    <w:bookmarkStart w:id="25" w:name="X57b9901f64fd6a982a7f484528300874a583ca5"/>
    <w:p>
      <w:pPr>
        <w:pStyle w:val="Heading3"/>
      </w:pPr>
      <w:r>
        <w:t xml:space="preserve">Product Strategy: Munich-Centric Architect Services</w:t>
      </w:r>
    </w:p>
    <w:p>
      <w:pPr>
        <w:pStyle w:val="FirstParagraph"/>
      </w:pPr>
      <w:r>
        <w:t xml:space="preserve">We reposition our Architect portfolio to solve Munich-specific challenges:</w:t>
      </w:r>
    </w:p>
    <w:p>
      <w:pPr>
        <w:numPr>
          <w:ilvl w:val="0"/>
          <w:numId w:val="1005"/>
        </w:numPr>
        <w:pStyle w:val="Compact"/>
      </w:pPr>
      <w:r>
        <w:rPr>
          <w:bCs/>
          <w:b/>
        </w:rPr>
        <w:t xml:space="preserve">"Munich Heritage+" Package:</w:t>
      </w:r>
      <w:r>
        <w:t xml:space="preserve"> </w:t>
      </w:r>
      <w:r>
        <w:t xml:space="preserve">Integrates historical façade restoration with modern energy systems (e.g., retrofitting 19th-century townhouses with solar-thermal hybrids).</w:t>
      </w:r>
    </w:p>
    <w:p>
      <w:pPr>
        <w:numPr>
          <w:ilvl w:val="0"/>
          <w:numId w:val="1005"/>
        </w:numPr>
        <w:pStyle w:val="Compact"/>
      </w:pPr>
      <w:r>
        <w:rPr>
          <w:bCs/>
          <w:b/>
        </w:rPr>
        <w:t xml:space="preserve">Sustainable Certification Focus:</w:t>
      </w:r>
      <w:r>
        <w:t xml:space="preserve"> </w:t>
      </w:r>
      <w:r>
        <w:t xml:space="preserve">All projects target "German Sustainability Seal" (DGNB Gold) to comply with Munich’s 2024 building codes.</w:t>
      </w:r>
    </w:p>
    <w:p>
      <w:pPr>
        <w:numPr>
          <w:ilvl w:val="0"/>
          <w:numId w:val="1005"/>
        </w:numPr>
        <w:pStyle w:val="Compact"/>
      </w:pPr>
      <w:r>
        <w:rPr>
          <w:bCs/>
          <w:b/>
        </w:rPr>
        <w:t xml:space="preserve">Localized Digital Toolkit:</w:t>
      </w:r>
      <w:r>
        <w:t xml:space="preserve"> </w:t>
      </w:r>
      <w:r>
        <w:t xml:space="preserve">Custom CAD templates for Munich zoning laws and 3D renderings showcasing views of the Alps or Isar River.</w:t>
      </w:r>
    </w:p>
    <w:bookmarkEnd w:id="25"/>
    <w:bookmarkStart w:id="26" w:name="Xb53ba96fab2879f44de3e827b08df87c6d562f6"/>
    <w:p>
      <w:pPr>
        <w:pStyle w:val="Heading3"/>
      </w:pPr>
      <w:r>
        <w:t xml:space="preserve">Promotion Strategy: Hyper-Localized Engagement</w:t>
      </w:r>
    </w:p>
    <w:p>
      <w:pPr>
        <w:pStyle w:val="FirstParagraph"/>
      </w:pPr>
      <w:r>
        <w:t xml:space="preserve">Relying on Germany Munich’s community-driven culture:</w:t>
      </w:r>
    </w:p>
    <w:p>
      <w:pPr>
        <w:numPr>
          <w:ilvl w:val="0"/>
          <w:numId w:val="1006"/>
        </w:numPr>
        <w:pStyle w:val="Compact"/>
      </w:pPr>
      <w:r>
        <w:rPr>
          <w:bCs/>
          <w:b/>
        </w:rPr>
        <w:t xml:space="preserve">Munich Architecture Festivals:</w:t>
      </w:r>
      <w:r>
        <w:t xml:space="preserve"> </w:t>
      </w:r>
      <w:r>
        <w:t xml:space="preserve">Sponsor "München baut nachhaltig" (Munich Builds Sustainably) trade fair, hosting workshops on GEG compliance.</w:t>
      </w:r>
    </w:p>
    <w:p>
      <w:pPr>
        <w:numPr>
          <w:ilvl w:val="0"/>
          <w:numId w:val="1006"/>
        </w:numPr>
        <w:pStyle w:val="Compact"/>
      </w:pPr>
      <w:r>
        <w:rPr>
          <w:bCs/>
          <w:b/>
        </w:rPr>
        <w:t xml:space="preserve">Community Partnerships:</w:t>
      </w:r>
      <w:r>
        <w:t xml:space="preserve"> </w:t>
      </w:r>
      <w:r>
        <w:t xml:space="preserve">Collaborate with Munich Historic Preservation Society to co-author whitepapers on "Balancing Modernization &amp; Heritage."</w:t>
      </w:r>
    </w:p>
    <w:bookmarkEnd w:id="26"/>
    <w:bookmarkStart w:id="27" w:name="X9c5b79a524d78c0d5049f4dbda5e70e6edd1366"/>
    <w:p>
      <w:pPr>
        <w:pStyle w:val="Heading3"/>
      </w:pPr>
      <w:r>
        <w:t xml:space="preserve">Pricing Strategy: Value-Based for Germany Munich</w:t>
      </w:r>
    </w:p>
    <w:p>
      <w:pPr>
        <w:pStyle w:val="FirstParagraph"/>
      </w:pPr>
      <w:r>
        <w:t xml:space="preserve">Rejecting hourly rates in favor of project-value pricing:</w:t>
      </w:r>
    </w:p>
    <w:p>
      <w:pPr>
        <w:numPr>
          <w:ilvl w:val="0"/>
          <w:numId w:val="1007"/>
        </w:numPr>
        <w:pStyle w:val="Compact"/>
      </w:pPr>
      <w:r>
        <w:rPr>
          <w:bCs/>
          <w:b/>
        </w:rPr>
        <w:t xml:space="preserve">Residential:</w:t>
      </w:r>
      <w:r>
        <w:t xml:space="preserve"> </w:t>
      </w:r>
      <w:r>
        <w:t xml:space="preserve">€120–€180/sq.m. (5% above Munich average due to heritage integration). Includes free GEG compliance certification.</w:t>
      </w:r>
    </w:p>
    <w:p>
      <w:pPr>
        <w:numPr>
          <w:ilvl w:val="0"/>
          <w:numId w:val="1007"/>
        </w:numPr>
        <w:pStyle w:val="Compact"/>
      </w:pPr>
      <w:r>
        <w:rPr>
          <w:bCs/>
          <w:b/>
        </w:rPr>
        <w:t xml:space="preserve">Clinical &amp; Commercial:</w:t>
      </w:r>
      <w:r>
        <w:t xml:space="preserve"> </w:t>
      </w:r>
      <w:r>
        <w:t xml:space="preserve">5–7% of total project value, with 20% discount for city council partnerships.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Munich Event Sponsorships</w:t>
      </w:r>
    </w:p>
    <w:p>
      <w:pPr>
        <w:pStyle w:val="BodyText"/>
      </w:pPr>
      <w:r>
        <w:t xml:space="preserve">35%</w:t>
      </w:r>
    </w:p>
    <w:p>
      <w:pPr>
        <w:pStyle w:val="BodyText"/>
      </w:pPr>
      <w:r>
        <w:t xml:space="preserve">Sponsor city festivals, build local credibility.</w:t>
      </w:r>
    </w:p>
    <w:p>
      <w:pPr>
        <w:pStyle w:val="BodyText"/>
      </w:pPr>
      <w:r>
        <w:t xml:space="preserve">Digital Geo-Targeting (LinkedIn/Instagram)</w:t>
      </w:r>
    </w:p>
    <w:p>
      <w:pPr>
        <w:pStyle w:val="BodyText"/>
      </w:pPr>
      <w:r>
        <w:t xml:space="preserve">30%Reach 15,000 Munich professionals monthly.</w:t>
      </w:r>
    </w:p>
    <w:p>
      <w:pPr>
        <w:pStyle w:val="BodyText"/>
      </w:pPr>
      <w:r>
        <w:t xml:space="preserve">Content Creation (Local Case Studies)</w:t>
      </w:r>
    </w:p>
    <w:p>
      <w:pPr>
        <w:pStyle w:val="BodyText"/>
      </w:pPr>
      <w:r>
        <w:t xml:space="preserve">20%</w:t>
      </w:r>
    </w:p>
    <w:p>
      <w:pPr>
        <w:pStyle w:val="BodyText"/>
      </w:pPr>
      <w:r>
        <w:t xml:space="preserve">Showcase Munich projects like "Bogenhausen Eco-House."</w:t>
      </w:r>
    </w:p>
    <w:p>
      <w:pPr>
        <w:pStyle w:val="BodyText"/>
      </w:pPr>
      <w:r>
        <w:t xml:space="preserve">Partnership Development</w:t>
      </w:r>
    </w:p>
    <w:p>
      <w:pPr>
        <w:pStyle w:val="BodyText"/>
      </w:pPr>
      <w:r>
        <w:t xml:space="preserve">15%Cultivate relationships with Munich Building Authority.</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Munich-specific website with German-language SEO; partner with BMW Group for sustainability webinar series.</w:t>
      </w:r>
      <w:r>
        <w:br/>
      </w:r>
      <w:r>
        <w:rPr>
          <w:bCs/>
          <w:b/>
        </w:rPr>
        <w:t xml:space="preserve">Q3 2024:</w:t>
      </w:r>
      <w:r>
        <w:t xml:space="preserve"> </w:t>
      </w:r>
      <w:r>
        <w:t xml:space="preserve">Present "Heritage+Future" case study at Munich Architecture Festival; secure first public sector contract.</w:t>
      </w:r>
      <w:r>
        <w:br/>
      </w:r>
      <w:r>
        <w:rPr>
          <w:bCs/>
          <w:b/>
        </w:rPr>
        <w:t xml:space="preserve">Q1 2025:</w:t>
      </w:r>
      <w:r>
        <w:t xml:space="preserve"> </w:t>
      </w:r>
      <w:r>
        <w:t xml:space="preserve">Achieve DGNB Gold certification for all projects; expand to Nuremberg market as foothold in Bavaria.</w:t>
      </w:r>
    </w:p>
    <w:bookmarkEnd w:id="30"/>
    <w:bookmarkStart w:id="31" w:name="evaluation-metrics"/>
    <w:p>
      <w:pPr>
        <w:pStyle w:val="Heading2"/>
      </w:pPr>
      <w:r>
        <w:t xml:space="preserve">Evaluation Metrics</w:t>
      </w:r>
    </w:p>
    <w:p>
      <w:pPr>
        <w:pStyle w:val="FirstParagraph"/>
      </w:pPr>
      <w:r>
        <w:t xml:space="preserve">We track success through Munich-specific KPIs:</w:t>
      </w:r>
    </w:p>
    <w:p>
      <w:pPr>
        <w:numPr>
          <w:ilvl w:val="0"/>
          <w:numId w:val="1008"/>
        </w:numPr>
        <w:pStyle w:val="Compact"/>
      </w:pPr>
      <w:r>
        <w:rPr>
          <w:bCs/>
          <w:b/>
        </w:rPr>
        <w:t xml:space="preserve">Brand Recall:</w:t>
      </w:r>
      <w:r>
        <w:t xml:space="preserve"> </w:t>
      </w:r>
      <w:r>
        <w:t xml:space="preserve">45% of target audience identifies us as "Munich’s sustainable architect leader" (via quarterly surveys).</w:t>
      </w:r>
    </w:p>
    <w:p>
      <w:pPr>
        <w:numPr>
          <w:ilvl w:val="0"/>
          <w:numId w:val="1008"/>
        </w:numPr>
        <w:pStyle w:val="Compact"/>
      </w:pPr>
      <w:r>
        <w:rPr>
          <w:bCs/>
          <w:b/>
        </w:rPr>
        <w:t xml:space="preserve">Conversion Rate:</w:t>
      </w:r>
      <w:r>
        <w:t xml:space="preserve"> </w:t>
      </w:r>
      <w:r>
        <w:t xml:space="preserve">25% lead-to-client ratio in Munich projects (industry average: 18%).</w:t>
      </w:r>
    </w:p>
    <w:p>
      <w:pPr>
        <w:numPr>
          <w:ilvl w:val="0"/>
          <w:numId w:val="1008"/>
        </w:numPr>
        <w:pStyle w:val="Compact"/>
      </w:pPr>
      <w:r>
        <w:rPr>
          <w:bCs/>
          <w:b/>
        </w:rPr>
        <w:t xml:space="preserve">Client Retention:</w:t>
      </w:r>
      <w:r>
        <w:t xml:space="preserve"> </w:t>
      </w:r>
      <w:r>
        <w:t xml:space="preserve">80% repeat business from Munich HNWIs within Year 2.</w:t>
      </w:r>
    </w:p>
    <w:bookmarkEnd w:id="31"/>
    <w:bookmarkStart w:id="32" w:name="X621e69963ebe9e5bd3209ea2aaabb03216bf079"/>
    <w:p>
      <w:pPr>
        <w:pStyle w:val="Heading2"/>
      </w:pPr>
      <w:r>
        <w:t xml:space="preserve">Conclusion: Why This Marketing Plan Wins in Germany Munich</w:t>
      </w:r>
    </w:p>
    <w:p>
      <w:pPr>
        <w:pStyle w:val="FirstParagraph"/>
      </w:pPr>
      <w:r>
        <w:t xml:space="preserve">This Marketing Plan is not generic—it’s engineered for Munich, Germany’s unique urban ecosystem. By embedding "Architect" services within Munich’s cultural identity (preserving heritage) and regulatory reality (GEG compliance), we avoid competing on price and instead own the premium sustainable design niche. Our focus on hyper-localized engagement—through festivals, city partnerships, and Bavarian-specific case studies—builds trust faster than national campaigns. As Munich accelerates toward climate neutrality by 2040, this Marketing Plan positions our Architect practice not just as a service provider, but as an indispensable partner in shaping Germany Munich’s future. With precise targeting of the city’s high-value segments and measurable KPIs rooted in local context, we guarantee market leadership where it matters most: Munich.</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Germany Munich</dc:title>
  <dc:creator/>
  <dc:language>en</dc:language>
  <cp:keywords/>
  <dcterms:created xsi:type="dcterms:W3CDTF">2026-07-17T22:51:27Z</dcterms:created>
  <dcterms:modified xsi:type="dcterms:W3CDTF">2026-07-17T22:51:27Z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