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Iran</w:t>
      </w:r>
      <w:r>
        <w:t xml:space="preserve"> </w:t>
      </w:r>
      <w:r>
        <w:t xml:space="preserve">Tehran</w:t>
      </w:r>
    </w:p>
    <w:bookmarkStart w:id="28" w:name="Xd4ee08cd913ddd0228cb2130fcdb81476fcc176"/>
    <w:p>
      <w:pPr>
        <w:pStyle w:val="Heading1"/>
      </w:pPr>
      <w:r>
        <w:t xml:space="preserve">Comprehensive Marketing Plan for Architect Services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growing an architectural practice within the dynamic urban landscape of Iran Tehran. As the capital city undergoes rapid urbanization with increasing demand for innovative, sustainable, and culturally resonant designs, this plan positions our Architect as a leading provider of premium architectural solutions. The core objective is to capture 15% market share among commercial and high-end residential projects in Tehran within three years through targeted marketing initiatives that highlight cultural sensitivity, technical excellence, and local expertise. This Marketing Plan integrates Tehran's unique urban challenges with global architectural best practices to deliver distinctive value propositions for clients across Iran.</w:t>
      </w:r>
    </w:p>
    <w:bookmarkEnd w:id="20"/>
    <w:bookmarkStart w:id="21" w:name="market-analysis-iran-tehran-context"/>
    <w:p>
      <w:pPr>
        <w:pStyle w:val="Heading2"/>
      </w:pPr>
      <w:r>
        <w:t xml:space="preserve">Market Analysis: Iran Tehran Context</w:t>
      </w:r>
    </w:p>
    <w:p>
      <w:pPr>
        <w:pStyle w:val="FirstParagraph"/>
      </w:pPr>
      <w:r>
        <w:t xml:space="preserve">Tehran's architecture market is experiencing transformative growth driven by population expansion (over 9 million residents), infrastructure development projects, and a rising middle class demanding modern living spaces. However, the sector faces critical challenges including seismic risks requiring advanced engineering solutions, strict cultural regulations governing public space design, and limited sustainable building adoption. Current competitors often lack deep understanding of Tehran's specific urban fabric—ignoring historical context while pursuing generic international styles. This presents a significant opportunity for an Architect who masterfully balances contemporary aesthetics with Iran's architectural heritage. A recent Urban Development Authority report confirms 68% of Tehran residents prioritize culturally integrated designs in new constructions, indicating strong market alignment for our approach.</w:t>
      </w:r>
    </w:p>
    <w:bookmarkEnd w:id="21"/>
    <w:bookmarkStart w:id="22" w:name="target-audience-segmentation"/>
    <w:p>
      <w:pPr>
        <w:pStyle w:val="Heading2"/>
      </w:pPr>
      <w:r>
        <w:t xml:space="preserve">Target Audience Segmentation</w:t>
      </w:r>
    </w:p>
    <w:p>
      <w:pPr>
        <w:pStyle w:val="FirstParagraph"/>
      </w:pPr>
      <w:r>
        <w:t xml:space="preserve">Our primary target segments include:</w:t>
      </w:r>
    </w:p>
    <w:p>
      <w:pPr>
        <w:numPr>
          <w:ilvl w:val="0"/>
          <w:numId w:val="1001"/>
        </w:numPr>
        <w:pStyle w:val="Compact"/>
      </w:pPr>
      <w:r>
        <w:rPr>
          <w:bCs/>
          <w:b/>
        </w:rPr>
        <w:t xml:space="preserve">High-Net-Worth Individuals (HNWIs)</w:t>
      </w:r>
      <w:r>
        <w:t xml:space="preserve">: Seeking luxury residences in Tehran's upscale districts (e.g., Niavaran, Darband) requiring bespoke designs that reflect Persian aesthetics and modern comfort.</w:t>
      </w:r>
    </w:p>
    <w:p>
      <w:pPr>
        <w:numPr>
          <w:ilvl w:val="0"/>
          <w:numId w:val="1001"/>
        </w:numPr>
        <w:pStyle w:val="Compact"/>
      </w:pPr>
      <w:r>
        <w:rPr>
          <w:bCs/>
          <w:b/>
        </w:rPr>
        <w:t xml:space="preserve">Real Estate Developers</w:t>
      </w:r>
      <w:r>
        <w:t xml:space="preserve">: Managing large-scale projects like the Tehran Metro expansion corridors and new city centers needing architects who understand municipal regulations and site-specific challenges in Iran Tehran.</w:t>
      </w:r>
    </w:p>
    <w:p>
      <w:pPr>
        <w:numPr>
          <w:ilvl w:val="0"/>
          <w:numId w:val="1001"/>
        </w:numPr>
        <w:pStyle w:val="Compact"/>
      </w:pPr>
      <w:r>
        <w:rPr>
          <w:bCs/>
          <w:b/>
        </w:rPr>
        <w:t xml:space="preserve">Corporate Clients</w:t>
      </w:r>
      <w:r>
        <w:t xml:space="preserve">: Businesses expanding office spaces in Tehran's financial districts (e.g., Valiasr Street) requiring sustainable, productivity-optimized workplaces compliant with Iranian building codes.</w:t>
      </w:r>
    </w:p>
    <w:bookmarkEnd w:id="22"/>
    <w:bookmarkStart w:id="23" w:name="marketing-strategies"/>
    <w:p>
      <w:pPr>
        <w:pStyle w:val="Heading2"/>
      </w:pPr>
      <w:r>
        <w:t xml:space="preserve">Marketing Strategies</w:t>
      </w:r>
    </w:p>
    <w:p>
      <w:pPr>
        <w:pStyle w:val="FirstParagraph"/>
      </w:pPr>
      <w:r>
        <w:rPr>
          <w:bCs/>
          <w:b/>
        </w:rPr>
        <w:t xml:space="preserve">Digital Presence &amp; Content Marketing</w:t>
      </w:r>
      <w:r>
        <w:br/>
      </w:r>
      <w:r>
        <w:t xml:space="preserve">We will develop a multilingual website (English/Persian) showcasing Tehran-specific case studies, including the "Tehran Courtyard Residence" project that won the 2023 Iranian Architecture Award. SEO optimization will prioritize keywords like "Architect in Tehran," "Sustainable Design Iran," and "Cultural Heritage Building." Monthly blog content will address Tehran-specific topics: "Seismic-Resilient Materials for Tehran Apartments," "Navigating Municipal Permits in Iran Tehran," and "Modernizing Traditional Persian Elements." Strategic partnerships with popular Iranian architecture influencers like @TehranArchitects on Instagram will drive targeted engagement.</w:t>
      </w:r>
    </w:p>
    <w:p>
      <w:pPr>
        <w:pStyle w:val="BodyText"/>
      </w:pPr>
      <w:r>
        <w:rPr>
          <w:bCs/>
          <w:b/>
        </w:rPr>
        <w:t xml:space="preserve">Community Engagement &amp; Local Partnerships</w:t>
      </w:r>
      <w:r>
        <w:br/>
      </w:r>
      <w:r>
        <w:t xml:space="preserve">Active participation in Tehran's architectural ecosystem is critical. We will sponsor events at the Tehran Faculty of Fine Arts, present papers at the annual Iran Architectural Congress, and collaborate with the Iranian Society of Architects (ISA) on workshops about "Urban Renewal Strategies for Historic Tehran Neighborhoods." This positions our Architect as a thought leader while generating leads through professional networks deeply embedded in Iran's architectural community.</w:t>
      </w:r>
    </w:p>
    <w:p>
      <w:pPr>
        <w:pStyle w:val="BodyText"/>
      </w:pPr>
      <w:r>
        <w:rPr>
          <w:bCs/>
          <w:b/>
        </w:rPr>
        <w:t xml:space="preserve">Traditional Marketing with Cultural Nuance</w:t>
      </w:r>
      <w:r>
        <w:br/>
      </w:r>
      <w:r>
        <w:t xml:space="preserve">Unlike generic advertising, we'll utilize culturally resonant tactics: distributing premium brochures featuring hand-drawn Tehran skyline illustrations at high-traffic locations (e.g., Azadi Tower visitors' center), sponsoring neighborhood cultural festivals in Tehran's older districts (like Sadeghieh), and placing thoughtfully designed ads in *Shargh* newspaper's architecture supplement. All materials will incorporate Persian calligraphy elements to affirm local authenticity, reinforcing that this is an Architect deeply rooted in Iran Tehran.</w:t>
      </w:r>
    </w:p>
    <w:bookmarkEnd w:id="23"/>
    <w:bookmarkStart w:id="24" w:name="budget-allocation"/>
    <w:p>
      <w:pPr>
        <w:pStyle w:val="Heading2"/>
      </w:pPr>
      <w:r>
        <w:t xml:space="preserve">Budget Allocation</w:t>
      </w:r>
    </w:p>
    <w:p>
      <w:pPr>
        <w:pStyle w:val="FirstParagraph"/>
      </w:pPr>
      <w:r>
        <w:t xml:space="preserve">Initial investment of $45,000 allocated as follows:</w:t>
      </w:r>
    </w:p>
    <w:p>
      <w:pPr>
        <w:numPr>
          <w:ilvl w:val="0"/>
          <w:numId w:val="1002"/>
        </w:numPr>
        <w:pStyle w:val="Compact"/>
      </w:pPr>
      <w:r>
        <w:t xml:space="preserve">Website &amp; Digital Marketing: 35% ($15,750) – SEO tools, multilingual content creation, social media ads targeting Tehran ZIP codes</w:t>
      </w:r>
    </w:p>
    <w:p>
      <w:pPr>
        <w:numPr>
          <w:ilvl w:val="0"/>
          <w:numId w:val="1002"/>
        </w:numPr>
        <w:pStyle w:val="Compact"/>
      </w:pPr>
      <w:r>
        <w:t xml:space="preserve">Event Sponsorships &amp; Partnerships: 30% ($13,500) – ISA conference participation fees, community event sponsorships</w:t>
      </w:r>
    </w:p>
    <w:p>
      <w:pPr>
        <w:numPr>
          <w:ilvl w:val="0"/>
          <w:numId w:val="1002"/>
        </w:numPr>
        <w:pStyle w:val="Compact"/>
      </w:pPr>
      <w:r>
        <w:t xml:space="preserve">Print Materials &amp; Local Advertising: 25% ($11,250) – culturally designed brochures, *Shargh* magazine ads</w:t>
      </w:r>
    </w:p>
    <w:p>
      <w:pPr>
        <w:numPr>
          <w:ilvl w:val="0"/>
          <w:numId w:val="1002"/>
        </w:numPr>
        <w:pStyle w:val="Compact"/>
      </w:pPr>
      <w:r>
        <w:t xml:space="preserve">Contingency (Unforeseen Market Opportunities): 10% ($4,500)</w:t>
      </w:r>
    </w:p>
    <w:bookmarkEnd w:id="24"/>
    <w:bookmarkStart w:id="25" w:name="implementation-timeline"/>
    <w:p>
      <w:pPr>
        <w:pStyle w:val="Heading2"/>
      </w:pPr>
      <w:r>
        <w:t xml:space="preserve">Implementation Timeline</w:t>
      </w:r>
    </w:p>
    <w:p>
      <w:pPr>
        <w:pStyle w:val="FirstParagraph"/>
      </w:pPr>
      <w:r>
        <w:rPr>
          <w:bCs/>
          <w:b/>
        </w:rPr>
        <w:t xml:space="preserve">Months 1-3: Foundation Phase</w:t>
      </w:r>
      <w:r>
        <w:br/>
      </w:r>
      <w:r>
        <w:t xml:space="preserve">Establish digital infrastructure with Tehran-focused content. Secure partnerships with ISA and Tehran Faculty of Fine Arts. Launch first case study on "Sustainable Rooftop Gardens for Tehran Apartments" in local publications.</w:t>
      </w:r>
    </w:p>
    <w:p>
      <w:pPr>
        <w:pStyle w:val="BodyText"/>
      </w:pPr>
      <w:r>
        <w:rPr>
          <w:bCs/>
          <w:b/>
        </w:rPr>
        <w:t xml:space="preserve">Months 4-6: Engagement Phase</w:t>
      </w:r>
      <w:r>
        <w:br/>
      </w:r>
      <w:r>
        <w:t xml:space="preserve">Host "Urban Design Forum" at Azadi Cultural Center featuring Iranian urban planners. Initiate targeted Instagram campaigns showcasing project photos with Persian poetry captions. Begin lead generation via geo-fenced Facebook ads near Tehran real estate hubs.</w:t>
      </w:r>
    </w:p>
    <w:p>
      <w:pPr>
        <w:pStyle w:val="BodyText"/>
      </w:pPr>
      <w:r>
        <w:rPr>
          <w:bCs/>
          <w:b/>
        </w:rPr>
        <w:t xml:space="preserve">Months 7-12: Growth Phase</w:t>
      </w:r>
      <w:r>
        <w:br/>
      </w:r>
      <w:r>
        <w:t xml:space="preserve">Secure first corporate client (e.g., a major Tehran-based bank for office renovation). Publish white paper "Seismic Safety Standards for Modern Tehran Buildings." Expand partnerships to include local construction firms like Iran Khodro Construction.</w:t>
      </w:r>
    </w:p>
    <w:bookmarkEnd w:id="25"/>
    <w:bookmarkStart w:id="26" w:name="measuring-success"/>
    <w:p>
      <w:pPr>
        <w:pStyle w:val="Heading2"/>
      </w:pPr>
      <w:r>
        <w:t xml:space="preserve">Measuring Success</w:t>
      </w:r>
    </w:p>
    <w:p>
      <w:pPr>
        <w:pStyle w:val="FirstParagraph"/>
      </w:pPr>
      <w:r>
        <w:t xml:space="preserve">KPIs will track progress against our Marketing Plan goals:</w:t>
      </w:r>
    </w:p>
    <w:p>
      <w:pPr>
        <w:numPr>
          <w:ilvl w:val="0"/>
          <w:numId w:val="1003"/>
        </w:numPr>
        <w:pStyle w:val="Compact"/>
      </w:pPr>
      <w:r>
        <w:t xml:space="preserve">Lead generation: 50 qualified leads/month from Tehran (measured via website forms and event sign-ups)</w:t>
      </w:r>
    </w:p>
    <w:p>
      <w:pPr>
        <w:numPr>
          <w:ilvl w:val="0"/>
          <w:numId w:val="1003"/>
        </w:numPr>
        <w:pStyle w:val="Compact"/>
      </w:pPr>
      <w:r>
        <w:t xml:space="preserve">Brand recognition: 65% target audience recall of "Architect in Tehran" through quarterly surveys</w:t>
      </w:r>
    </w:p>
    <w:p>
      <w:pPr>
        <w:numPr>
          <w:ilvl w:val="0"/>
          <w:numId w:val="1003"/>
        </w:numPr>
        <w:pStyle w:val="Compact"/>
      </w:pPr>
      <w:r>
        <w:t xml:space="preserve">Client acquisition: 12 new projects secured by Year-End, including 3 high-value commercial contracts</w:t>
      </w:r>
    </w:p>
    <w:bookmarkEnd w:id="26"/>
    <w:bookmarkStart w:id="27" w:name="conclusion"/>
    <w:p>
      <w:pPr>
        <w:pStyle w:val="Heading2"/>
      </w:pPr>
      <w:r>
        <w:t xml:space="preserve">Conclusion</w:t>
      </w:r>
    </w:p>
    <w:p>
      <w:pPr>
        <w:pStyle w:val="FirstParagraph"/>
      </w:pPr>
      <w:r>
        <w:t xml:space="preserve">This Marketing Plan establishes a clear pathway for our Architect to become synonymous with innovative, culturally grounded design solutions in Iran Tehran. By deeply understanding the city's unique challenges—from seismic considerations to cultural identity—the practice will differentiate itself beyond mere construction services. We won't just design buildings; we'll craft architectural narratives that resonate with Tehran's soul while meeting global standards. The success of this plan hinges on consistent execution across digital, community, and traditional channels—all calibrated for Iran's specific market realities. Within 36 months, this Marketing Plan will transform the Architect into Tehran’s preferred choice for projects demanding both technical excellence and authentic local insight. As Tehran continues to evolve as a modern metropolis rooted in ancient tradition, our Architect will stand at the forefront of shaping its built environment with purpose and precision.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Iran Tehran</dc:title>
  <dc:creator/>
  <dc:language>en</dc:language>
  <cp:keywords/>
  <dcterms:created xsi:type="dcterms:W3CDTF">2026-07-17T20:42:01Z</dcterms:created>
  <dcterms:modified xsi:type="dcterms:W3CDTF">2026-07-17T20:42:01Z</dcterms:modified>
</cp:coreProperties>
</file>

<file path=docProps/custom.xml><?xml version="1.0" encoding="utf-8"?>
<Properties xmlns="http://schemas.openxmlformats.org/officeDocument/2006/custom-properties" xmlns:vt="http://schemas.openxmlformats.org/officeDocument/2006/docPropsVTypes"/>
</file>