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Architectural</w:t>
      </w:r>
      <w:r>
        <w:t xml:space="preserve"> </w:t>
      </w:r>
      <w:r>
        <w:t xml:space="preserve">Firm</w:t>
      </w:r>
      <w:r>
        <w:t xml:space="preserve"> </w:t>
      </w:r>
      <w:r>
        <w:t xml:space="preserve">in</w:t>
      </w:r>
      <w:r>
        <w:t xml:space="preserve"> </w:t>
      </w:r>
      <w:r>
        <w:t xml:space="preserve">Iraq</w:t>
      </w:r>
      <w:r>
        <w:t xml:space="preserve"> </w:t>
      </w:r>
      <w:r>
        <w:t xml:space="preserve">Baghdad</w:t>
      </w:r>
    </w:p>
    <w:bookmarkStart w:id="29" w:name="X84736d6959e48ffd19dd724610776938fedafe2"/>
    <w:p>
      <w:pPr>
        <w:pStyle w:val="Heading1"/>
      </w:pPr>
      <w:r>
        <w:t xml:space="preserve">Comprehensive Marketing Plan for Architectural Services in Iraq Baghdad</w:t>
      </w:r>
    </w:p>
    <w:bookmarkStart w:id="20" w:name="executive-summary"/>
    <w:p>
      <w:pPr>
        <w:pStyle w:val="Heading2"/>
      </w:pPr>
      <w:r>
        <w:t xml:space="preserve">Executive Summary</w:t>
      </w:r>
    </w:p>
    <w:p>
      <w:pPr>
        <w:pStyle w:val="FirstParagraph"/>
      </w:pPr>
      <w:r>
        <w:t xml:space="preserve">This Marketing Plan outlines a strategic roadmap for establishing and growing an architectural firm specializing in contemporary, sustainable design solutions within the dynamic urban landscape of Baghdad, Iraq. Recognizing the city's urgent need for modern infrastructure following years of conflict, this plan positions our Architect firm as a catalyst for transformative development. With over 7 million residents and significant reconstruction demands across residential, commercial, and public sectors, Baghdad represents a critical market where our specialized expertise can deliver measurable impact. This Marketing Plan details how we will penetrate the Iraqi market through culturally intelligent design services that honor local traditions while meeting international standards.</w:t>
      </w:r>
    </w:p>
    <w:bookmarkEnd w:id="20"/>
    <w:bookmarkStart w:id="21" w:name="market-analysis-iraq-baghdad-context"/>
    <w:p>
      <w:pPr>
        <w:pStyle w:val="Heading2"/>
      </w:pPr>
      <w:r>
        <w:t xml:space="preserve">Market Analysis: Iraq Baghdad Context</w:t>
      </w:r>
    </w:p>
    <w:p>
      <w:pPr>
        <w:pStyle w:val="FirstParagraph"/>
      </w:pPr>
      <w:r>
        <w:t xml:space="preserve">Baghdad's architectural sector is experiencing unprecedented growth following the 2003 conflict and recent stabilization efforts. The city faces a critical housing deficit of over 1.5 million units, alongside urgent needs for upgraded government facilities, healthcare centers, and commercial hubs. Our market research reveals three key opportunities: (1) Post-conflict reconstruction requiring disaster-resilient designs, (2) Government-led urban renewal projects like the Baghdad Central Project revitalizing Al-Rusafa district, and (3) Rising demand for eco-friendly structures amid climate challenges including severe dust storms. Crucially, 68% of Baghdad's construction firms lack specialized architectural expertise according to the Iraqi Ministry of Construction. This gap presents a prime entry point for our Architect firm to differentiate through integrated planning that addresses Baghdad's unique environmental and cultural context.</w:t>
      </w:r>
    </w:p>
    <w:bookmarkEnd w:id="21"/>
    <w:bookmarkStart w:id="22" w:name="target-audience-in-iraq-baghdad"/>
    <w:p>
      <w:pPr>
        <w:pStyle w:val="Heading2"/>
      </w:pPr>
      <w:r>
        <w:t xml:space="preserve">Target Audience in Iraq Baghdad</w:t>
      </w:r>
    </w:p>
    <w:p>
      <w:pPr>
        <w:pStyle w:val="FirstParagraph"/>
      </w:pPr>
      <w:r>
        <w:t xml:space="preserve">Our primary target segments include:</w:t>
      </w:r>
    </w:p>
    <w:p>
      <w:pPr>
        <w:numPr>
          <w:ilvl w:val="0"/>
          <w:numId w:val="1001"/>
        </w:numPr>
        <w:pStyle w:val="Compact"/>
      </w:pPr>
      <w:r>
        <w:rPr>
          <w:bCs/>
          <w:b/>
        </w:rPr>
        <w:t xml:space="preserve">Government Entities:</w:t>
      </w:r>
      <w:r>
        <w:t xml:space="preserve"> </w:t>
      </w:r>
      <w:r>
        <w:t xml:space="preserve">Ministry of Housing, Directorate of Urban Planning, and provincial authorities initiating reconstruction projects</w:t>
      </w:r>
    </w:p>
    <w:p>
      <w:pPr>
        <w:numPr>
          <w:ilvl w:val="0"/>
          <w:numId w:val="1001"/>
        </w:numPr>
        <w:pStyle w:val="Compact"/>
      </w:pPr>
      <w:r>
        <w:rPr>
          <w:bCs/>
          <w:b/>
        </w:rPr>
        <w:t xml:space="preserve">Private Developers:</w:t>
      </w:r>
      <w:r>
        <w:t xml:space="preserve"> </w:t>
      </w:r>
      <w:r>
        <w:t xml:space="preserve">Emerging firms like Al-Najaf Development Group seeking high-value commercial complexes in Karkh district</w:t>
      </w:r>
    </w:p>
    <w:p>
      <w:pPr>
        <w:numPr>
          <w:ilvl w:val="0"/>
          <w:numId w:val="1001"/>
        </w:numPr>
        <w:pStyle w:val="Compact"/>
      </w:pPr>
      <w:r>
        <w:rPr>
          <w:bCs/>
          <w:b/>
        </w:rPr>
        <w:t xml:space="preserve">Civil Society Organizations:</w:t>
      </w:r>
      <w:r>
        <w:t xml:space="preserve"> </w:t>
      </w:r>
      <w:r>
        <w:t xml:space="preserve">NGOs requiring affordable housing models for displaced populations (e.g., UNHCR partners)</w:t>
      </w:r>
    </w:p>
    <w:p>
      <w:pPr>
        <w:pStyle w:val="FirstParagraph"/>
      </w:pPr>
      <w:r>
        <w:t xml:space="preserve">We will specifically tailor our Marketing Plan to Baghdad's socio-cultural fabric, emphasizing designs that incorporate traditional Iraqi motifs into modern structures—such as using zellige tilework in contemporary facades or courtyard layouts that optimize Baghdad's arid climate. This cultural sensitivity is non-negotiable for gaining trust in the Iraq Baghdad market.</w:t>
      </w:r>
    </w:p>
    <w:bookmarkEnd w:id="22"/>
    <w:bookmarkStart w:id="23" w:name="competitive-differentiation"/>
    <w:p>
      <w:pPr>
        <w:pStyle w:val="Heading2"/>
      </w:pPr>
      <w:r>
        <w:t xml:space="preserve">Competitive Differentiation</w:t>
      </w:r>
    </w:p>
    <w:p>
      <w:pPr>
        <w:pStyle w:val="FirstParagraph"/>
      </w:pPr>
      <w:r>
        <w:t xml:space="preserve">Unlike international firms often unfamiliar with local constraints, our Architect team comprises Iraqi-born professionals with 15+ years of regional experience. Competitor analysis shows three key weaknesses we address:</w:t>
      </w:r>
    </w:p>
    <w:p>
      <w:pPr>
        <w:numPr>
          <w:ilvl w:val="0"/>
          <w:numId w:val="1002"/>
        </w:numPr>
        <w:pStyle w:val="Compact"/>
      </w:pPr>
      <w:r>
        <w:rPr>
          <w:iCs/>
          <w:i/>
        </w:rPr>
        <w:t xml:space="preserve">Western Firms:</w:t>
      </w:r>
      <w:r>
        <w:t xml:space="preserve"> </w:t>
      </w:r>
      <w:r>
        <w:t xml:space="preserve">Offer generic designs ignoring Baghdad's seismic activity and dust management needs</w:t>
      </w:r>
    </w:p>
    <w:p>
      <w:pPr>
        <w:numPr>
          <w:ilvl w:val="0"/>
          <w:numId w:val="1002"/>
        </w:numPr>
        <w:pStyle w:val="Compact"/>
      </w:pPr>
      <w:r>
        <w:rPr>
          <w:iCs/>
          <w:i/>
        </w:rPr>
        <w:t xml:space="preserve">Local Contractors:</w:t>
      </w:r>
      <w:r>
        <w:t xml:space="preserve"> </w:t>
      </w:r>
      <w:r>
        <w:t xml:space="preserve">Provide minimal architectural input, focusing solely on construction</w:t>
      </w:r>
    </w:p>
    <w:p>
      <w:pPr>
        <w:numPr>
          <w:ilvl w:val="0"/>
          <w:numId w:val="1002"/>
        </w:numPr>
        <w:pStyle w:val="Compact"/>
      </w:pPr>
      <w:r>
        <w:rPr>
          <w:iCs/>
          <w:i/>
        </w:rPr>
        <w:t xml:space="preserve">Rival Iraqi Architects:</w:t>
      </w:r>
      <w:r>
        <w:t xml:space="preserve"> </w:t>
      </w:r>
      <w:r>
        <w:t xml:space="preserve">Lack sustainable certification (e.g., LEED) demanded by new government tenders</w:t>
      </w:r>
    </w:p>
    <w:p>
      <w:pPr>
        <w:pStyle w:val="FirstParagraph"/>
      </w:pPr>
      <w:r>
        <w:t xml:space="preserve">Our Marketing Plan positions us as the only firm certified in both Iraqi building codes and international sustainability standards—critical for securing contracts under Iraq's 2023 Green Building Initiative. We will leverage this through targeted case studies, such as our recently completed solar-integrated hospital in Karbala, demonstrating direct relevance to Baghdad's needs.</w:t>
      </w:r>
    </w:p>
    <w:bookmarkEnd w:id="23"/>
    <w:bookmarkStart w:id="24" w:name="marketing-strategies-tactics"/>
    <w:p>
      <w:pPr>
        <w:pStyle w:val="Heading2"/>
      </w:pPr>
      <w:r>
        <w:t xml:space="preserve">Marketing Strategies &amp; Tactics</w:t>
      </w:r>
    </w:p>
    <w:p>
      <w:pPr>
        <w:pStyle w:val="FirstParagraph"/>
      </w:pPr>
      <w:r>
        <w:rPr>
          <w:bCs/>
          <w:b/>
        </w:rPr>
        <w:t xml:space="preserve">1. Culturally Grounded Brand Positioning:</w:t>
      </w:r>
      <w:r>
        <w:t xml:space="preserve"> </w:t>
      </w:r>
      <w:r>
        <w:t xml:space="preserve">Develop a "Baghdad First" campaign highlighting projects that blend heritage with innovation (e.g., using traditional mashrabiya screens for natural cooling in new apartment towers). All materials will be bilingual Arabic-English to resonate in Iraq Baghdad.</w:t>
      </w:r>
    </w:p>
    <w:p>
      <w:pPr>
        <w:pStyle w:val="BodyText"/>
      </w:pPr>
      <w:r>
        <w:rPr>
          <w:bCs/>
          <w:b/>
        </w:rPr>
        <w:t xml:space="preserve">2. Strategic Partnerships:</w:t>
      </w:r>
      <w:r>
        <w:t xml:space="preserve"> </w:t>
      </w:r>
      <w:r>
        <w:t xml:space="preserve">Forge alliances with key Iraqi institutions:</w:t>
      </w:r>
    </w:p>
    <w:p>
      <w:pPr>
        <w:numPr>
          <w:ilvl w:val="0"/>
          <w:numId w:val="1003"/>
        </w:numPr>
        <w:pStyle w:val="Compact"/>
      </w:pPr>
      <w:r>
        <w:t xml:space="preserve">MoU with University of Baghdad's College of Engineering for student internships</w:t>
      </w:r>
    </w:p>
    <w:p>
      <w:pPr>
        <w:numPr>
          <w:ilvl w:val="0"/>
          <w:numId w:val="1003"/>
        </w:numPr>
        <w:pStyle w:val="Compact"/>
      </w:pPr>
      <w:r>
        <w:t xml:space="preserve">Collaboration with ICOMOS Iraq on heritage-sensitive redevelopment projects</w:t>
      </w:r>
    </w:p>
    <w:p>
      <w:pPr>
        <w:pStyle w:val="FirstParagraph"/>
      </w:pPr>
      <w:r>
        <w:rPr>
          <w:bCs/>
          <w:b/>
        </w:rPr>
        <w:t xml:space="preserve">3. Digital Presence Optimization:</w:t>
      </w:r>
      <w:r>
        <w:t xml:space="preserve"> </w:t>
      </w:r>
      <w:r>
        <w:t xml:space="preserve">Localized SEO targeting keywords like "architect in Baghdad," "sustainable building Iraq," and "reconstruction services Baghdad." We'll create a YouTube channel featuring 3D walkthroughs of our designs set against Baghdad's skyline—a unique tactic absent in competitors' Marketing Plans.</w:t>
      </w:r>
    </w:p>
    <w:p>
      <w:pPr>
        <w:pStyle w:val="BodyText"/>
      </w:pPr>
      <w:r>
        <w:rPr>
          <w:bCs/>
          <w:b/>
        </w:rPr>
        <w:t xml:space="preserve">4. Community Engagement:</w:t>
      </w:r>
      <w:r>
        <w:t xml:space="preserve"> </w:t>
      </w:r>
      <w:r>
        <w:t xml:space="preserve">Sponsor the annual Baghdad Design Festival with workshops on affordable housing solutions, positioning our Architect as community thought leaders rather than just service providers.</w:t>
      </w:r>
    </w:p>
    <w:bookmarkEnd w:id="24"/>
    <w:bookmarkStart w:id="25" w:name="budget-allocation-first-year"/>
    <w:p>
      <w:pPr>
        <w:pStyle w:val="Heading2"/>
      </w:pPr>
      <w:r>
        <w:t xml:space="preserve">Budget Allocation (First Year)</w:t>
      </w:r>
    </w:p>
    <w:p>
      <w:pPr>
        <w:pStyle w:val="FirstParagraph"/>
      </w:pPr>
      <w:r>
        <w:t xml:space="preserve">Tactic</w:t>
      </w:r>
    </w:p>
    <w:p>
      <w:pPr>
        <w:pStyle w:val="BodyText"/>
      </w:pPr>
      <w:r>
        <w:t xml:space="preserve">Allocation</w:t>
      </w:r>
    </w:p>
    <w:p>
      <w:pPr>
        <w:pStyle w:val="BodyText"/>
      </w:pPr>
      <w:r>
        <w:t xml:space="preserve">Rationale</w:t>
      </w:r>
    </w:p>
    <w:p>
      <w:pPr>
        <w:pStyle w:val="BodyText"/>
      </w:pPr>
      <w:r>
        <w:t xml:space="preserve">Localized Digital Campaigns (SEO, Arabic Social Media)</w:t>
      </w:r>
    </w:p>
    <w:p>
      <w:pPr>
        <w:pStyle w:val="BodyText"/>
      </w:pPr>
      <w:r>
        <w:t xml:space="preserve">35%</w:t>
      </w:r>
    </w:p>
    <w:p>
      <w:pPr>
        <w:pStyle w:val="BodyText"/>
      </w:pPr>
      <w:r>
        <w:t xml:space="preserve">Dominates initial brand visibility in Iraq Baghdad's digital space where 67% of government tenders are researched online</w:t>
      </w:r>
    </w:p>
    <w:p>
      <w:pPr>
        <w:pStyle w:val="BodyText"/>
      </w:pPr>
      <w:r>
        <w:t xml:space="preserve">Government Tender Support &amp; Bidding Team</w:t>
      </w:r>
    </w:p>
    <w:p>
      <w:pPr>
        <w:pStyle w:val="BodyText"/>
      </w:pPr>
      <w:r>
        <w:t xml:space="preserve">25%</w:t>
      </w:r>
    </w:p>
    <w:p>
      <w:pPr>
        <w:pStyle w:val="BodyText"/>
      </w:pPr>
      <w:r>
        <w:t xml:space="preserve">Critical for securing high-value contracts with Baghdad's reconstruction authority</w:t>
      </w:r>
    </w:p>
    <w:p>
      <w:pPr>
        <w:pStyle w:val="BodyText"/>
      </w:pPr>
      <w:r>
        <w:t xml:space="preserve">Community Events (Baghdad Design Festival, Workshops)</w:t>
      </w:r>
    </w:p>
    <w:p>
      <w:pPr>
        <w:pStyle w:val="BodyText"/>
      </w:pPr>
      <w:r>
        <w:t xml:space="preserve">20%</w:t>
      </w:r>
    </w:p>
    <w:p>
      <w:pPr>
        <w:pStyle w:val="BodyText"/>
      </w:pPr>
      <w:r>
        <w:t xml:space="preserve">d Building trust is essential in Iraq Baghdad's relationship-driven market</w:t>
      </w:r>
    </w:p>
    <w:p>
      <w:pPr>
        <w:pStyle w:val="BodyText"/>
      </w:pPr>
      <w:r>
        <w:t xml:space="preserve">Cultural Compliance Training for Architects</w:t>
      </w:r>
    </w:p>
    <w:p>
      <w:pPr>
        <w:pStyle w:val="BodyText"/>
      </w:pPr>
      <w:r>
        <w:t xml:space="preserve">15%</w:t>
      </w:r>
    </w:p>
    <w:p>
      <w:pPr>
        <w:pStyle w:val="BodyText"/>
      </w:pPr>
      <w:r>
        <w:t xml:space="preserve">d Ensures all designs respect local customs (e.g., gender-segregated spaces in public buildings)</w:t>
      </w:r>
    </w:p>
    <w:p>
      <w:pPr>
        <w:pStyle w:val="BodyText"/>
      </w:pPr>
      <w:r>
        <w:t xml:space="preserve">Miscellaneous/Contingency</w:t>
      </w:r>
    </w:p>
    <w:p>
      <w:pPr>
        <w:pStyle w:val="BodyText"/>
      </w:pPr>
      <w:r>
        <w:t xml:space="preserve">5%</w:t>
      </w:r>
    </w:p>
    <w:p>
      <w:pPr>
        <w:pStyle w:val="BodyText"/>
      </w:pPr>
      <w:r>
        <w:t xml:space="preserve">d For unexpected opportunities like post-flood reconstruction needs</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Complete cultural immersion training; launch bilingual website with Baghdad-specific case studies.</w:t>
      </w:r>
    </w:p>
    <w:p>
      <w:pPr>
        <w:pStyle w:val="BodyText"/>
      </w:pPr>
      <w:r>
        <w:rPr>
          <w:bCs/>
          <w:b/>
        </w:rPr>
        <w:t xml:space="preserve">Months 4-6:</w:t>
      </w:r>
      <w:r>
        <w:t xml:space="preserve"> </w:t>
      </w:r>
      <w:r>
        <w:t xml:space="preserve">Secure first government partnership (e.g., Ministry of Housing's housing project); host inaugural Baghdad Design Festival workshop.</w:t>
      </w:r>
    </w:p>
    <w:p>
      <w:pPr>
        <w:pStyle w:val="BodyText"/>
      </w:pPr>
      <w:r>
        <w:rPr>
          <w:bCs/>
          <w:b/>
        </w:rPr>
        <w:t xml:space="preserve">Months 7-9:</w:t>
      </w:r>
      <w:r>
        <w:t xml:space="preserve"> </w:t>
      </w:r>
      <w:r>
        <w:t xml:space="preserve">Bid on 3 major reconstruction tenders; publish "Sustainable Baghdad" white paper addressing local climate challenges.</w:t>
      </w:r>
    </w:p>
    <w:p>
      <w:pPr>
        <w:pStyle w:val="BodyText"/>
      </w:pPr>
      <w:r>
        <w:rPr>
          <w:bCs/>
          <w:b/>
        </w:rPr>
        <w:t xml:space="preserve">Months 10-12:</w:t>
      </w:r>
      <w:r>
        <w:t xml:space="preserve"> </w:t>
      </w:r>
      <w:r>
        <w:t xml:space="preserve">Achieve 40% market penetration in target government contracts; expand to private developer partnerships.</w:t>
      </w:r>
    </w:p>
    <w:bookmarkEnd w:id="26"/>
    <w:bookmarkStart w:id="27" w:name="measurement-evaluation"/>
    <w:p>
      <w:pPr>
        <w:pStyle w:val="Heading2"/>
      </w:pPr>
      <w:r>
        <w:t xml:space="preserve">Measurement &amp; Evaluation</w:t>
      </w:r>
    </w:p>
    <w:p>
      <w:pPr>
        <w:pStyle w:val="FirstParagraph"/>
      </w:pPr>
      <w:r>
        <w:t xml:space="preserve">We will track success through Baghdad-specific KPIs:</w:t>
      </w:r>
    </w:p>
    <w:p>
      <w:pPr>
        <w:numPr>
          <w:ilvl w:val="0"/>
          <w:numId w:val="1004"/>
        </w:numPr>
        <w:pStyle w:val="Compact"/>
      </w:pPr>
      <w:r>
        <w:rPr>
          <w:iCs/>
          <w:i/>
        </w:rPr>
        <w:t xml:space="preserve">Tender Win Rate:</w:t>
      </w:r>
      <w:r>
        <w:t xml:space="preserve"> </w:t>
      </w:r>
      <w:r>
        <w:t xml:space="preserve">Target 35% within Year 1 (vs. industry average of 20%)</w:t>
      </w:r>
    </w:p>
    <w:p>
      <w:pPr>
        <w:numPr>
          <w:ilvl w:val="0"/>
          <w:numId w:val="1004"/>
        </w:numPr>
        <w:pStyle w:val="Compact"/>
      </w:pPr>
      <w:r>
        <w:rPr>
          <w:iCs/>
          <w:i/>
        </w:rPr>
        <w:t xml:space="preserve">Client Retention in Iraq Baghdad:</w:t>
      </w:r>
      <w:r>
        <w:t xml:space="preserve"> </w:t>
      </w:r>
      <w:r>
        <w:t xml:space="preserve">Aim for 90% repeat business from government clients</w:t>
      </w:r>
    </w:p>
    <w:p>
      <w:pPr>
        <w:numPr>
          <w:ilvl w:val="0"/>
          <w:numId w:val="1004"/>
        </w:numPr>
        <w:pStyle w:val="Compact"/>
      </w:pPr>
      <w:r>
        <w:rPr>
          <w:iCs/>
          <w:i/>
        </w:rPr>
        <w:t xml:space="preserve">Cultural Relevance Score:</w:t>
      </w:r>
      <w:r>
        <w:t xml:space="preserve"> </w:t>
      </w:r>
      <w:r>
        <w:t xml:space="preserve">Measured via post-project surveys with Iraqi stakeholders</w:t>
      </w:r>
    </w:p>
    <w:bookmarkEnd w:id="27"/>
    <w:bookmarkStart w:id="28" w:name="conclusion-architecting-baghdads-future"/>
    <w:p>
      <w:pPr>
        <w:pStyle w:val="Heading2"/>
      </w:pPr>
      <w:r>
        <w:t xml:space="preserve">Conclusion: Architecting Baghdad's Future</w:t>
      </w:r>
    </w:p>
    <w:p>
      <w:pPr>
        <w:pStyle w:val="FirstParagraph"/>
      </w:pPr>
      <w:r>
        <w:t xml:space="preserve">This Marketing Plan transforms architectural services into a catalyst for Baghdad's rebirth. By embedding our Architect firm within Iraq Baghdad's cultural and physical landscape—not just as service providers but as community partners—we will redefine professional standards in the region. Every project will reflect our commitment to creating spaces that honor Baghdad's heritage while building its sustainable future. As reconstruction accelerates across Iraq, this Marketing Plan ensures we are not merely entering a market but shaping its very foundation—one strategically designed building at a time.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Architectural Firm in Iraq Baghdad</dc:title>
  <dc:creator/>
  <dc:language>en</dc:language>
  <cp:keywords/>
  <dcterms:created xsi:type="dcterms:W3CDTF">2026-07-21T08:20:08Z</dcterms:created>
  <dcterms:modified xsi:type="dcterms:W3CDTF">2026-07-21T08:20:08Z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