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Japan</w:t>
      </w:r>
      <w:r>
        <w:t xml:space="preserve"> </w:t>
      </w:r>
      <w:r>
        <w:t xml:space="preserve">Kyoto</w:t>
      </w:r>
    </w:p>
    <w:bookmarkStart w:id="32" w:name="Xc17e36c6fb0b85de6490bb69bcfaae661d62ecd"/>
    <w:p>
      <w:pPr>
        <w:pStyle w:val="Heading1"/>
      </w:pPr>
      <w:r>
        <w:t xml:space="preserve">Comprehensive Marketing Plan for Architect Firm in Japan Kyoto</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innovative architectural firm specializing in contemporary design within the culturally rich context of Kyoto, Japan. As a premier Architect serving Japan Kyoto, our strategy capitalizes on the city's unique blend of ancient traditions and modern aspirations. We target discerning clients seeking harmonious integration of historical preservation with sustainable innovation. This plan details market entry tactics, client acquisition strategies, and brand positioning to establish leadership in the Japan Kyoto architectural landscape within 36 months.</w:t>
      </w:r>
    </w:p>
    <w:bookmarkEnd w:id="20"/>
    <w:bookmarkStart w:id="21" w:name="X0b8c58482c3cab8f7a3cee7b25a650c476208e9"/>
    <w:p>
      <w:pPr>
        <w:pStyle w:val="Heading2"/>
      </w:pPr>
      <w:r>
        <w:t xml:space="preserve">Market Analysis: Kyoto's Architectural Landscape</w:t>
      </w:r>
    </w:p>
    <w:p>
      <w:pPr>
        <w:pStyle w:val="FirstParagraph"/>
      </w:pPr>
      <w:r>
        <w:t xml:space="preserve">Kyoto presents a distinctive opportunity for an Architect specializing in culturally sensitive design. As Japan's cultural heartland, 15% of its territory is designated as UNESCO World Heritage sites, creating intense demand for restoration projects requiring deep historical understanding. Simultaneously, Kyoto's urban renewal initiatives drive demand for modern residential and commercial spaces that respect local aesthetics. Our research identifies three critical market segments: traditional machiya (townhouse) restoration specialists (35% of current market), luxury eco-resort developers (28%), and forward-thinking corporate clients seeking sustainable headquarters (22%). Competitors often lack the dual expertise in both historical preservation and cutting-edge sustainable architecture that defines our value proposition.</w:t>
      </w:r>
    </w:p>
    <w:bookmarkEnd w:id="21"/>
    <w:bookmarkStart w:id="22" w:name="target-audience"/>
    <w:p>
      <w:pPr>
        <w:pStyle w:val="Heading2"/>
      </w:pPr>
      <w:r>
        <w:t xml:space="preserve">Target Audience</w:t>
      </w:r>
    </w:p>
    <w:p>
      <w:pPr>
        <w:pStyle w:val="FirstParagraph"/>
      </w:pPr>
      <w:r>
        <w:t xml:space="preserve">We specifically target three high-value segments within Japan Kyoto:</w:t>
      </w:r>
    </w:p>
    <w:p>
      <w:pPr>
        <w:numPr>
          <w:ilvl w:val="0"/>
          <w:numId w:val="1001"/>
        </w:numPr>
        <w:pStyle w:val="Compact"/>
      </w:pPr>
      <w:r>
        <w:rPr>
          <w:bCs/>
          <w:b/>
        </w:rPr>
        <w:t xml:space="preserve">Preservation Societies &amp; Cultural Institutions</w:t>
      </w:r>
      <w:r>
        <w:t xml:space="preserve">: Organizations managing historic temples and gardens requiring architecturally sensitive restorations with strict adherence to traditional techniques.</w:t>
      </w:r>
    </w:p>
    <w:p>
      <w:pPr>
        <w:numPr>
          <w:ilvl w:val="0"/>
          <w:numId w:val="1001"/>
        </w:numPr>
        <w:pStyle w:val="Compact"/>
      </w:pPr>
      <w:r>
        <w:rPr>
          <w:bCs/>
          <w:b/>
        </w:rPr>
        <w:t xml:space="preserve">High-Net-Worth Individuals (HNWIs)</w:t>
      </w:r>
      <w:r>
        <w:t xml:space="preserve">: Kyoto-based residents seeking luxury residences that incorporate ikebana-inspired spatial design and sustainable materials, valuing discretion and cultural authenticity.</w:t>
      </w:r>
    </w:p>
    <w:p>
      <w:pPr>
        <w:numPr>
          <w:ilvl w:val="0"/>
          <w:numId w:val="1001"/>
        </w:numPr>
        <w:pStyle w:val="Compact"/>
      </w:pPr>
      <w:r>
        <w:rPr>
          <w:bCs/>
          <w:b/>
        </w:rPr>
        <w:t xml:space="preserve">Sustainable Corporate Developers</w:t>
      </w:r>
      <w:r>
        <w:t xml:space="preserve">: Companies establishing regional headquarters in Kyoto requiring LEED Platinum certification with Japanese aesthetic integration, particularly targeting the 40% annual growth in eco-tourism infrastructure.</w:t>
      </w:r>
    </w:p>
    <w:bookmarkEnd w:id="22"/>
    <w:bookmarkStart w:id="23" w:name="unique-value-proposition"/>
    <w:p>
      <w:pPr>
        <w:pStyle w:val="Heading2"/>
      </w:pPr>
      <w:r>
        <w:t xml:space="preserve">Unique Value Proposition</w:t>
      </w:r>
    </w:p>
    <w:p>
      <w:pPr>
        <w:pStyle w:val="FirstParagraph"/>
      </w:pPr>
      <w:r>
        <w:t xml:space="preserve">Our Architect firm differentiates through the "Kyoto Harmony Framework" – a proprietary methodology combining:</w:t>
      </w:r>
    </w:p>
    <w:p>
      <w:pPr>
        <w:numPr>
          <w:ilvl w:val="0"/>
          <w:numId w:val="1002"/>
        </w:numPr>
        <w:pStyle w:val="Compact"/>
      </w:pPr>
      <w:r>
        <w:rPr>
          <w:iCs/>
          <w:i/>
        </w:rPr>
        <w:t xml:space="preserve">Historical Accuracy:</w:t>
      </w:r>
      <w:r>
        <w:t xml:space="preserve"> </w:t>
      </w:r>
      <w:r>
        <w:t xml:space="preserve">Certified expertise in Kyoto's architectural traditions (e.g., kumiko woodworking, shoji screen techniques)</w:t>
      </w:r>
    </w:p>
    <w:p>
      <w:pPr>
        <w:numPr>
          <w:ilvl w:val="0"/>
          <w:numId w:val="1002"/>
        </w:numPr>
        <w:pStyle w:val="Compact"/>
      </w:pPr>
      <w:r>
        <w:rPr>
          <w:iCs/>
          <w:i/>
        </w:rPr>
        <w:t xml:space="preserve">Sustainable Innovation:</w:t>
      </w:r>
      <w:r>
        <w:t xml:space="preserve"> </w:t>
      </w:r>
      <w:r>
        <w:t xml:space="preserve">Carbon-negative design using locally sourced materials like tatami rice straw and bamboo</w:t>
      </w:r>
    </w:p>
    <w:p>
      <w:pPr>
        <w:numPr>
          <w:ilvl w:val="0"/>
          <w:numId w:val="1002"/>
        </w:numPr>
        <w:pStyle w:val="Compact"/>
      </w:pPr>
      <w:r>
        <w:rPr>
          <w:iCs/>
          <w:i/>
        </w:rPr>
        <w:t xml:space="preserve">Cultural Sensitivity:</w:t>
      </w:r>
      <w:r>
        <w:t xml:space="preserve"> </w:t>
      </w:r>
      <w:r>
        <w:t xml:space="preserve">On-site "ma" (negative space) analysis to ensure designs respect Kyoto's spiritual atmosphere</w:t>
      </w:r>
    </w:p>
    <w:p>
      <w:pPr>
        <w:pStyle w:val="FirstParagraph"/>
      </w:pPr>
      <w:r>
        <w:t xml:space="preserve">This positions us as the only Architect firm in Japan Kyoto offering this integrated approach, moving beyond generic modernism to create spaces that resonate with local identity.</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develop specialized service packages:</w:t>
      </w:r>
    </w:p>
    <w:p>
      <w:pPr>
        <w:numPr>
          <w:ilvl w:val="0"/>
          <w:numId w:val="1003"/>
        </w:numPr>
        <w:pStyle w:val="Compact"/>
      </w:pPr>
      <w:r>
        <w:rPr>
          <w:iCs/>
          <w:i/>
        </w:rPr>
        <w:t xml:space="preserve">Wabi-Sabi Restoration:</w:t>
      </w:r>
      <w:r>
        <w:t xml:space="preserve"> </w:t>
      </w:r>
      <w:r>
        <w:t xml:space="preserve">Full-scale historical building conservation with 10% cost savings through government subsidies for cultural sites</w:t>
      </w:r>
    </w:p>
    <w:p>
      <w:pPr>
        <w:numPr>
          <w:ilvl w:val="0"/>
          <w:numId w:val="1003"/>
        </w:numPr>
        <w:pStyle w:val="Compact"/>
      </w:pPr>
      <w:r>
        <w:rPr>
          <w:iCs/>
          <w:i/>
        </w:rPr>
        <w:t xml:space="preserve">Kyoto Living Suite:</w:t>
      </w:r>
      <w:r>
        <w:t xml:space="preserve"> </w:t>
      </w:r>
      <w:r>
        <w:t xml:space="preserve">Custom luxury residences featuring hidden gardens and seasonal light integration, targeting HNWIs</w:t>
      </w:r>
    </w:p>
    <w:p>
      <w:pPr>
        <w:numPr>
          <w:ilvl w:val="0"/>
          <w:numId w:val="1003"/>
        </w:numPr>
        <w:pStyle w:val="Compact"/>
      </w:pPr>
      <w:r>
        <w:rPr>
          <w:iCs/>
          <w:i/>
        </w:rPr>
        <w:t xml:space="preserve">Eco-Enterprise Hub:</w:t>
      </w:r>
      <w:r>
        <w:t xml:space="preserve"> </w:t>
      </w:r>
      <w:r>
        <w:t xml:space="preserve">Sustainable commercial spaces meeting Kyoto's 2030 carbon neutrality goals for corporate clients</w:t>
      </w:r>
    </w:p>
    <w:bookmarkEnd w:id="24"/>
    <w:bookmarkStart w:id="25" w:name="pricing-strategy"/>
    <w:p>
      <w:pPr>
        <w:pStyle w:val="Heading3"/>
      </w:pPr>
      <w:r>
        <w:t xml:space="preserve">Pricing Strategy</w:t>
      </w:r>
    </w:p>
    <w:p>
      <w:pPr>
        <w:pStyle w:val="FirstParagraph"/>
      </w:pPr>
      <w:r>
        <w:t xml:space="preserve">Implementing premium value-based pricing with tiered options:</w:t>
      </w:r>
    </w:p>
    <w:p>
      <w:pPr>
        <w:numPr>
          <w:ilvl w:val="0"/>
          <w:numId w:val="1004"/>
        </w:numPr>
        <w:pStyle w:val="Compact"/>
      </w:pPr>
      <w:r>
        <w:t xml:space="preserve">Restoration projects: 15% above standard rates (justified by preservation tax credits)</w:t>
      </w:r>
    </w:p>
    <w:p>
      <w:pPr>
        <w:numPr>
          <w:ilvl w:val="0"/>
          <w:numId w:val="1004"/>
        </w:numPr>
        <w:pStyle w:val="Compact"/>
      </w:pPr>
      <w:r>
        <w:t xml:space="preserve">Luxury residences: 20% premium reflecting bespoke cultural integration</w:t>
      </w:r>
    </w:p>
    <w:p>
      <w:pPr>
        <w:numPr>
          <w:ilvl w:val="0"/>
          <w:numId w:val="1004"/>
        </w:numPr>
        <w:pStyle w:val="Compact"/>
      </w:pPr>
      <w:r>
        <w:t xml:space="preserve">Corporate packages: Value-based pricing tied to sustainability certification savings</w:t>
      </w:r>
    </w:p>
    <w:bookmarkEnd w:id="25"/>
    <w:bookmarkStart w:id="26" w:name="distribution-promotion-strategy"/>
    <w:p>
      <w:pPr>
        <w:pStyle w:val="Heading3"/>
      </w:pPr>
      <w:r>
        <w:t xml:space="preserve">Distribution &amp; Promotion Strategy</w:t>
      </w:r>
    </w:p>
    <w:p>
      <w:pPr>
        <w:pStyle w:val="FirstParagraph"/>
      </w:pPr>
      <w:r>
        <w:t xml:space="preserve">We leverage Kyoto-specific channels:</w:t>
      </w:r>
    </w:p>
    <w:p>
      <w:pPr>
        <w:numPr>
          <w:ilvl w:val="0"/>
          <w:numId w:val="1005"/>
        </w:numPr>
        <w:pStyle w:val="Compact"/>
      </w:pPr>
      <w:r>
        <w:rPr>
          <w:iCs/>
          <w:i/>
        </w:rPr>
        <w:t xml:space="preserve">Cultural Partnerships:</w:t>
      </w:r>
      <w:r>
        <w:t xml:space="preserve"> </w:t>
      </w:r>
      <w:r>
        <w:t xml:space="preserve">Collaborating with Kyoto Imperial Palace restoration teams and Gion geisha districts for referral networks</w:t>
      </w:r>
    </w:p>
    <w:p>
      <w:pPr>
        <w:numPr>
          <w:ilvl w:val="0"/>
          <w:numId w:val="1005"/>
        </w:numPr>
        <w:pStyle w:val="Compact"/>
      </w:pPr>
      <w:r>
        <w:rPr>
          <w:iCs/>
          <w:i/>
        </w:rPr>
        <w:t xml:space="preserve">Experiential Marketing:</w:t>
      </w:r>
      <w:r>
        <w:t xml:space="preserve"> </w:t>
      </w:r>
      <w:r>
        <w:t xml:space="preserve">Hosting "Ma Design" workshops in historic tea houses, demonstrating spatial philosophy</w:t>
      </w:r>
    </w:p>
    <w:p>
      <w:pPr>
        <w:numPr>
          <w:ilvl w:val="0"/>
          <w:numId w:val="1005"/>
        </w:numPr>
        <w:pStyle w:val="Compact"/>
      </w:pPr>
      <w:r>
        <w:rPr>
          <w:iCs/>
          <w:i/>
        </w:rPr>
        <w:t xml:space="preserve">Digital Presence:</w:t>
      </w:r>
      <w:r>
        <w:t xml:space="preserve"> </w:t>
      </w:r>
      <w:r>
        <w:t xml:space="preserve">SEO-optimized Japanese content targeting keywords like "Kyoto traditional architect" and "sustainable Kyoto design"</w:t>
      </w:r>
    </w:p>
    <w:p>
      <w:pPr>
        <w:numPr>
          <w:ilvl w:val="0"/>
          <w:numId w:val="1005"/>
        </w:numPr>
        <w:pStyle w:val="Compact"/>
      </w:pPr>
      <w:r>
        <w:rPr>
          <w:iCs/>
          <w:i/>
        </w:rPr>
        <w:t xml:space="preserve">Local Media:</w:t>
      </w:r>
      <w:r>
        <w:t xml:space="preserve"> </w:t>
      </w:r>
      <w:r>
        <w:t xml:space="preserve">Features in Kyoto Shimbun and NHK's cultural programming showcasing completed projects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Activities</w:t>
      </w:r>
    </w:p>
    <w:p>
      <w:pPr>
        <w:pStyle w:val="BodyText"/>
      </w:pPr>
      <w:r>
        <w:t xml:space="preserve">Japan Kyoto Focus</w:t>
      </w:r>
    </w:p>
    <w:p>
      <w:pPr>
        <w:pStyle w:val="BodyText"/>
      </w:pPr>
      <w:r>
        <w:t xml:space="preserve">Q1 2024</w:t>
      </w:r>
    </w:p>
    <w:p>
      <w:pPr>
        <w:pStyle w:val="BodyText"/>
      </w:pPr>
      <w:r>
        <w:t xml:space="preserve">Negotiate partnership with Kyoto Cultural Heritage Foundation; Launch Japanese-language digital platform</w:t>
      </w:r>
    </w:p>
    <w:p>
      <w:pPr>
        <w:pStyle w:val="BodyText"/>
      </w:pPr>
      <w:r>
        <w:t xml:space="preserve">Establishing credibility through institutional alignment in Japan Kyoto's cultural ecosystem</w:t>
      </w:r>
    </w:p>
    <w:p>
      <w:pPr>
        <w:pStyle w:val="BodyText"/>
      </w:pPr>
      <w:r>
        <w:t xml:space="preserve">Q2 2024</w:t>
      </w:r>
    </w:p>
    <w:p>
      <w:pPr>
        <w:pStyle w:val="BodyText"/>
      </w:pPr>
      <w:r>
        <w:t xml:space="preserve">Host first "Kyoto Harmony" workshop at Kiyomizu-dera temple; Secure first corporate client for eco-office project</w:t>
      </w:r>
    </w:p>
    <w:p>
      <w:pPr>
        <w:pStyle w:val="BodyText"/>
      </w:pPr>
      <w:r>
        <w:rPr>
          <w:iCs/>
          <w:i/>
        </w:rPr>
        <w:t xml:space="preserve">Cultural immersion event in Kyoto's sacred space, attracting premium clients</w:t>
      </w:r>
    </w:p>
    <w:p>
      <w:pPr>
        <w:pStyle w:val="BodyText"/>
      </w:pPr>
      <w:r>
        <w:t xml:space="preserve">Q3 2024</w:t>
      </w:r>
    </w:p>
    <w:p>
      <w:pPr>
        <w:pStyle w:val="BodyText"/>
      </w:pPr>
      <w:r>
        <w:t xml:space="preserve">Complete Wabi-Sabi restoration of 18th-century machiya; Publish case study in Kyoto Architectural Journal</w:t>
      </w:r>
    </w:p>
    <w:p>
      <w:pPr>
        <w:pStyle w:val="BodyText"/>
      </w:pPr>
      <w:r>
        <w:rPr>
          <w:iCs/>
          <w:i/>
        </w:rPr>
        <w:t xml:space="preserve">Validating expertise through high-profile Japan Kyoto project delivery</w:t>
      </w:r>
    </w:p>
    <w:p>
      <w:pPr>
        <w:pStyle w:val="BodyText"/>
      </w:pPr>
      <w:r>
        <w:t xml:space="preserve">Q4 2024</w:t>
      </w:r>
    </w:p>
    <w:p>
      <w:pPr>
        <w:pStyle w:val="BodyText"/>
      </w:pPr>
      <w:r>
        <w:t xml:space="preserve">Leverage success for government grant applications; Expand corporate service offerings for Kyoto's new eco-districts</w:t>
      </w:r>
    </w:p>
    <w:p>
      <w:pPr>
        <w:pStyle w:val="BodyText"/>
      </w:pPr>
      <w:r>
        <w:rPr>
          <w:iCs/>
          <w:i/>
        </w:rPr>
        <w:t xml:space="preserve">Scaling operations within Kyoto's designated sustainable development zones</w:t>
      </w:r>
    </w:p>
    <w:bookmarkEnd w:id="28"/>
    <w:bookmarkStart w:id="29" w:name="performance-metrics-evaluation"/>
    <w:p>
      <w:pPr>
        <w:pStyle w:val="Heading2"/>
      </w:pPr>
      <w:r>
        <w:t xml:space="preserve">Performance Metrics &amp; Evaluation</w:t>
      </w:r>
    </w:p>
    <w:p>
      <w:pPr>
        <w:pStyle w:val="FirstParagraph"/>
      </w:pPr>
      <w:r>
        <w:t xml:space="preserve">We measure success through Japan-specific KPIs:</w:t>
      </w:r>
    </w:p>
    <w:p>
      <w:pPr>
        <w:numPr>
          <w:ilvl w:val="0"/>
          <w:numId w:val="1006"/>
        </w:numPr>
        <w:pStyle w:val="Compact"/>
      </w:pPr>
      <w:r>
        <w:rPr>
          <w:bCs/>
          <w:b/>
        </w:rPr>
        <w:t xml:space="preserve">Cultural Alignment Score:</w:t>
      </w:r>
      <w:r>
        <w:t xml:space="preserve"> </w:t>
      </w:r>
      <w:r>
        <w:t xml:space="preserve">90% client satisfaction on traditional aesthetic integration (measured via Kyoto Cultural Council surveys)</w:t>
      </w:r>
    </w:p>
    <w:p>
      <w:pPr>
        <w:numPr>
          <w:ilvl w:val="0"/>
          <w:numId w:val="1006"/>
        </w:numPr>
        <w:pStyle w:val="Compact"/>
      </w:pPr>
      <w:r>
        <w:rPr>
          <w:bCs/>
          <w:b/>
        </w:rPr>
        <w:t xml:space="preserve">Project Pipeline:</w:t>
      </w:r>
      <w:r>
        <w:t xml:space="preserve"> </w:t>
      </w:r>
      <w:r>
        <w:t xml:space="preserve">75% of new clients from Kyoto-based referral networks within Year 2</w:t>
      </w:r>
    </w:p>
    <w:p>
      <w:pPr>
        <w:numPr>
          <w:ilvl w:val="0"/>
          <w:numId w:val="1006"/>
        </w:numPr>
        <w:pStyle w:val="Compact"/>
      </w:pPr>
      <w:r>
        <w:rPr>
          <w:bCs/>
          <w:b/>
        </w:rPr>
        <w:t xml:space="preserve">Sustainability Impact:</w:t>
      </w:r>
      <w:r>
        <w:t xml:space="preserve"> </w:t>
      </w:r>
      <w:r>
        <w:t xml:space="preserve">Average 40% reduction in carbon footprint vs. industry standard for completed projects</w:t>
      </w:r>
    </w:p>
    <w:bookmarkEnd w:id="29"/>
    <w:bookmarkStart w:id="30" w:name="budget-allocation-year-1"/>
    <w:p>
      <w:pPr>
        <w:pStyle w:val="Heading2"/>
      </w:pPr>
      <w:r>
        <w:t xml:space="preserve">Budget Allocation (Year 1)</w:t>
      </w:r>
    </w:p>
    <w:p>
      <w:pPr>
        <w:pStyle w:val="FirstParagraph"/>
      </w:pPr>
      <w:r>
        <w:t xml:space="preserve">Our Marketing Plan allocates $385,000 for Japan Kyoto operations:</w:t>
      </w:r>
    </w:p>
    <w:p>
      <w:pPr>
        <w:numPr>
          <w:ilvl w:val="0"/>
          <w:numId w:val="1007"/>
        </w:numPr>
        <w:pStyle w:val="Compact"/>
      </w:pPr>
      <w:r>
        <w:t xml:space="preserve">45% Cultural Partnerships &amp; Events (including temple workshop costs)</w:t>
      </w:r>
    </w:p>
    <w:p>
      <w:pPr>
        <w:numPr>
          <w:ilvl w:val="0"/>
          <w:numId w:val="1007"/>
        </w:numPr>
        <w:pStyle w:val="Compact"/>
      </w:pPr>
      <w:r>
        <w:t xml:space="preserve">25% Digital Localization (Japanese SEO, bilingual content creation)</w:t>
      </w:r>
    </w:p>
    <w:p>
      <w:pPr>
        <w:numPr>
          <w:ilvl w:val="0"/>
          <w:numId w:val="1007"/>
        </w:numPr>
        <w:pStyle w:val="Compact"/>
      </w:pPr>
      <w:r>
        <w:t xml:space="preserve">20% Case Study Development (documenting Kyoto projects for portfolio)</w:t>
      </w:r>
    </w:p>
    <w:p>
      <w:pPr>
        <w:numPr>
          <w:ilvl w:val="0"/>
          <w:numId w:val="1007"/>
        </w:numPr>
        <w:pStyle w:val="Compact"/>
      </w:pPr>
      <w:r>
        <w:t xml:space="preserve">10% Market Research (ongoing analysis of Kyoto's architectural regulations)</w:t>
      </w:r>
    </w:p>
    <w:bookmarkEnd w:id="30"/>
    <w:bookmarkStart w:id="31" w:name="Xf00c24a65086ca44a234216f50355c0571738f0"/>
    <w:p>
      <w:pPr>
        <w:pStyle w:val="Heading2"/>
      </w:pPr>
      <w:r>
        <w:t xml:space="preserve">Conclusion: The Architect Advantage in Japan Kyoto</w:t>
      </w:r>
    </w:p>
    <w:p>
      <w:pPr>
        <w:pStyle w:val="FirstParagraph"/>
      </w:pPr>
      <w:r>
        <w:t xml:space="preserve">This Marketing Plan positions our Architect firm as the indispensable partner for anyone seeking to create meaningful spaces within Kyoto's cultural ecosystem. By embedding Japanese aesthetics into every project and leveraging Kyoto's unique market dynamics, we transcend conventional architectural services. Our success hinges on understanding that in Japan Kyoto, a building is never just structure – it must resonate with history, nature, and community. This Marketing Plan delivers the roadmap to establish our firm as the premier choice for discerning clients who recognize that authentic architecture in Japan Kyoto requires both technical mastery and cultural soul. As we grow this practice, every project will further cement our reputation as the Architect of choice for those seeking harmony between past and future within Japan's most culturally significant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Japan Kyoto</dc:title>
  <dc:creator/>
  <dc:language>en</dc:language>
  <cp:keywords/>
  <dcterms:created xsi:type="dcterms:W3CDTF">2025-12-13T09:51:51Z</dcterms:created>
  <dcterms:modified xsi:type="dcterms:W3CDTF">2025-12-13T09:51:51Z</dcterms:modified>
</cp:coreProperties>
</file>

<file path=docProps/custom.xml><?xml version="1.0" encoding="utf-8"?>
<Properties xmlns="http://schemas.openxmlformats.org/officeDocument/2006/custom-properties" xmlns:vt="http://schemas.openxmlformats.org/officeDocument/2006/docPropsVTypes"/>
</file>