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Kazakhstan</w:t>
      </w:r>
      <w:r>
        <w:t xml:space="preserve"> </w:t>
      </w:r>
      <w:r>
        <w:t xml:space="preserve">Almaty</w:t>
      </w:r>
    </w:p>
    <w:bookmarkStart w:id="29" w:name="X6653d95f64123b7478155d07e4306eec75e66e9"/>
    <w:p>
      <w:pPr>
        <w:pStyle w:val="Heading1"/>
      </w:pPr>
      <w:r>
        <w:t xml:space="preserve">Comprehensive Marketing Plan for Architect Services in Kazakhstan Almaty</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firm within the dynamic urban landscape of Kazakhstan Almaty. As the economic capital of Kazakhstan, Almaty presents unprecedented opportunities in real estate development, infrastructure modernization, and cultural preservation projects. This plan positions our Architect firm as the premier design partner for sustainable, culturally resonant developments across Kazakhstan Almaty. With a 3-year growth trajectory targeting 40% market share in mid-to-high-end residential and commercial projects, this Marketing Plan will leverage Almaty's rapid urbanization trends while adhering to local regulatory frameworks and cultural nuances.</w:t>
      </w:r>
    </w:p>
    <w:bookmarkEnd w:id="20"/>
    <w:bookmarkStart w:id="21" w:name="X5d06e72b8cec9ef886fc55b2d48884433918dd9"/>
    <w:p>
      <w:pPr>
        <w:pStyle w:val="Heading2"/>
      </w:pPr>
      <w:r>
        <w:t xml:space="preserve">Situation Analysis: Architect Market in Kazakhstan Almaty</w:t>
      </w:r>
    </w:p>
    <w:p>
      <w:pPr>
        <w:pStyle w:val="FirstParagraph"/>
      </w:pPr>
      <w:r>
        <w:t xml:space="preserve">Almaty's construction sector is experiencing explosive growth, driven by government initiatives like "Kazakhstan 2050" and the influx of foreign investment. However, a critical gap exists in the market: only 15% of architectural firms in Kazakhstan Almaty demonstrate deep expertise in integrating Kazakh cultural aesthetics with contemporary sustainable design. Current competitors often deliver generic Western-style projects that fail to resonate with local communities. Our Architect firm addresses this void by specializing in contextually appropriate designs—honoring traditional Kazakh motifs while meeting international standards. The city's population growth (2.8% annually) and $12 billion construction pipeline create urgent demand for forward-thinking Architect services.</w:t>
      </w:r>
    </w:p>
    <w:bookmarkEnd w:id="21"/>
    <w:bookmarkStart w:id="22" w:name="target-market-segmentation"/>
    <w:p>
      <w:pPr>
        <w:pStyle w:val="Heading2"/>
      </w:pPr>
      <w:r>
        <w:t xml:space="preserve">Target Market Segmentation</w:t>
      </w:r>
    </w:p>
    <w:p>
      <w:pPr>
        <w:pStyle w:val="FirstParagraph"/>
      </w:pPr>
      <w:r>
        <w:t xml:space="preserve">We prioritize three high-potential segments in Kazakhstan Almaty:</w:t>
      </w:r>
    </w:p>
    <w:p>
      <w:pPr>
        <w:numPr>
          <w:ilvl w:val="0"/>
          <w:numId w:val="1001"/>
        </w:numPr>
        <w:pStyle w:val="Compact"/>
      </w:pPr>
      <w:r>
        <w:rPr>
          <w:bCs/>
          <w:b/>
        </w:rPr>
        <w:t xml:space="preserve">High-Net-Worth Individuals (HNWIs):</w:t>
      </w:r>
      <w:r>
        <w:t xml:space="preserve"> </w:t>
      </w:r>
      <w:r>
        <w:t xml:space="preserve">Targeting 300+ affluent residents seeking custom luxury homes that blend Kazakh heritage with modern comfort.</w:t>
      </w:r>
    </w:p>
    <w:p>
      <w:pPr>
        <w:numPr>
          <w:ilvl w:val="0"/>
          <w:numId w:val="1001"/>
        </w:numPr>
        <w:pStyle w:val="Compact"/>
      </w:pPr>
      <w:r>
        <w:rPr>
          <w:bCs/>
          <w:b/>
        </w:rPr>
        <w:t xml:space="preserve">Real Estate Developers:</w:t>
      </w:r>
      <w:r>
        <w:t xml:space="preserve"> </w:t>
      </w:r>
      <w:r>
        <w:t xml:space="preserve">Focusing on 15 major developers undertaking mixed-use projects in Almaty's Central Business District and new eco-neighborhoods.</w:t>
      </w:r>
    </w:p>
    <w:p>
      <w:pPr>
        <w:numPr>
          <w:ilvl w:val="0"/>
          <w:numId w:val="1001"/>
        </w:numPr>
        <w:pStyle w:val="Compact"/>
      </w:pPr>
      <w:r>
        <w:rPr>
          <w:bCs/>
          <w:b/>
        </w:rPr>
        <w:t xml:space="preserve">Cultural Institutions:</w:t>
      </w:r>
      <w:r>
        <w:t xml:space="preserve"> </w:t>
      </w:r>
      <w:r>
        <w:t xml:space="preserve">Partnering with museums, government buildings, and religious sites requiring culturally sensitive architectural solutions.</w:t>
      </w:r>
    </w:p>
    <w:p>
      <w:pPr>
        <w:pStyle w:val="FirstParagraph"/>
      </w:pPr>
      <w:r>
        <w:t xml:space="preserve">These segments collectively represent a $280 million annual opportunity within Kazakhstan Almaty's premium architectural market. Our Marketing Plan specifically tailors engagement to Almaty's unique social fabric—emphasizing community integration over transactional relationships.</w:t>
      </w:r>
    </w:p>
    <w:bookmarkEnd w:id="22"/>
    <w:bookmarkStart w:id="23" w:name="marketing-objectives"/>
    <w:p>
      <w:pPr>
        <w:pStyle w:val="Heading2"/>
      </w:pPr>
      <w:r>
        <w:t xml:space="preserve">Marketing Objectives</w:t>
      </w:r>
    </w:p>
    <w:p>
      <w:pPr>
        <w:pStyle w:val="FirstParagraph"/>
      </w:pPr>
      <w:r>
        <w:t xml:space="preserve">Over the next 18 months, we will achieve:</w:t>
      </w:r>
    </w:p>
    <w:p>
      <w:pPr>
        <w:numPr>
          <w:ilvl w:val="0"/>
          <w:numId w:val="1002"/>
        </w:numPr>
        <w:pStyle w:val="Compact"/>
      </w:pPr>
      <w:r>
        <w:t xml:space="preserve">Secure 25% market penetration among target developers in Kazakhstan Almaty through strategic partnerships.</w:t>
      </w:r>
    </w:p>
    <w:p>
      <w:pPr>
        <w:numPr>
          <w:ilvl w:val="0"/>
          <w:numId w:val="1002"/>
        </w:numPr>
        <w:pStyle w:val="Compact"/>
      </w:pPr>
      <w:r>
        <w:t xml:space="preserve">Increase brand recognition among HNWIs to 70% within Almaty's top economic brackets.</w:t>
      </w:r>
    </w:p>
    <w:p>
      <w:pPr>
        <w:numPr>
          <w:ilvl w:val="0"/>
          <w:numId w:val="1002"/>
        </w:numPr>
        <w:pStyle w:val="Compact"/>
      </w:pPr>
      <w:r>
        <w:t xml:space="preserve">Generate $1.2M in new Architect project revenue by Year 2, representing a 35% YoY growth.</w:t>
      </w:r>
    </w:p>
    <w:bookmarkEnd w:id="23"/>
    <w:bookmarkStart w:id="24" w:name="marketing-strategies"/>
    <w:p>
      <w:pPr>
        <w:pStyle w:val="Heading2"/>
      </w:pPr>
      <w:r>
        <w:t xml:space="preserve">Marketing Strategies</w:t>
      </w:r>
    </w:p>
    <w:p>
      <w:pPr>
        <w:pStyle w:val="FirstParagraph"/>
      </w:pPr>
      <w:r>
        <w:rPr>
          <w:bCs/>
          <w:b/>
        </w:rPr>
        <w:t xml:space="preserve">Product Strategy:</w:t>
      </w:r>
      <w:r>
        <w:t xml:space="preserve"> </w:t>
      </w:r>
      <w:r>
        <w:t xml:space="preserve">We differentiate through "Kazakh Heritage Architecture" – a signature approach embedding traditional elements (like shanyrak motifs and yurt-inspired spatial flows) into modern structures. All projects include mandatory community consultations, ensuring the Architect's vision aligns with Almaty residents' cultural identity.</w:t>
      </w:r>
    </w:p>
    <w:p>
      <w:pPr>
        <w:pStyle w:val="BodyText"/>
      </w:pPr>
      <w:r>
        <w:rPr>
          <w:bCs/>
          <w:b/>
        </w:rPr>
        <w:t xml:space="preserve">Pricing Strategy:</w:t>
      </w:r>
      <w:r>
        <w:t xml:space="preserve"> </w:t>
      </w:r>
      <w:r>
        <w:t xml:space="preserve">Value-based pricing at 15% above market average for premium designs, justified by our cultural expertise and sustainability certifications (LEED Gold standards). This positions us as a high-value investment rather than a cost – critical for Kazakhstan Almaty's discerning clientele.</w:t>
      </w:r>
    </w:p>
    <w:p>
      <w:pPr>
        <w:pStyle w:val="BodyText"/>
      </w:pPr>
      <w:r>
        <w:rPr>
          <w:bCs/>
          <w:b/>
        </w:rPr>
        <w:t xml:space="preserve">Promotion Strategy:</w:t>
      </w:r>
      <w:r>
        <w:t xml:space="preserve"> </w:t>
      </w:r>
      <w:r>
        <w:t xml:space="preserve">Our integrated campaign leverages Almaty's media landscape:</w:t>
      </w:r>
    </w:p>
    <w:p>
      <w:pPr>
        <w:numPr>
          <w:ilvl w:val="0"/>
          <w:numId w:val="1003"/>
        </w:numPr>
        <w:pStyle w:val="Compact"/>
      </w:pPr>
      <w:r>
        <w:rPr>
          <w:iCs/>
          <w:i/>
        </w:rPr>
        <w:t xml:space="preserve">Cultural Partnerships:</w:t>
      </w:r>
      <w:r>
        <w:t xml:space="preserve"> </w:t>
      </w:r>
      <w:r>
        <w:t xml:space="preserve">Sponsorship of events like "Almaty Architecture Week" and collaborations with Kazakh artists to showcase our designs.</w:t>
      </w:r>
    </w:p>
    <w:p>
      <w:pPr>
        <w:numPr>
          <w:ilvl w:val="0"/>
          <w:numId w:val="1003"/>
        </w:numPr>
        <w:pStyle w:val="Compact"/>
      </w:pPr>
      <w:r>
        <w:rPr>
          <w:iCs/>
          <w:i/>
        </w:rPr>
        <w:t xml:space="preserve">Digital Localization:</w:t>
      </w:r>
      <w:r>
        <w:t xml:space="preserve"> </w:t>
      </w:r>
      <w:r>
        <w:t xml:space="preserve">Bilingual (Kazakh/English) social media campaigns featuring Almaty landmarks, targeting Facebook/Instagram users aged 35-55.</w:t>
      </w:r>
    </w:p>
    <w:p>
      <w:pPr>
        <w:numPr>
          <w:ilvl w:val="0"/>
          <w:numId w:val="1003"/>
        </w:numPr>
        <w:pStyle w:val="Compact"/>
      </w:pPr>
      <w:r>
        <w:rPr>
          <w:iCs/>
          <w:i/>
        </w:rPr>
        <w:t xml:space="preserve">Thought Leadership:</w:t>
      </w:r>
      <w:r>
        <w:t xml:space="preserve"> </w:t>
      </w:r>
      <w:r>
        <w:t xml:space="preserve">Publishing "Almaty Design Trends" reports in local business journals to establish Architect authority.</w:t>
      </w:r>
    </w:p>
    <w:bookmarkEnd w:id="24"/>
    <w:bookmarkStart w:id="25" w:name="tactical-implementation-plan"/>
    <w:p>
      <w:pPr>
        <w:pStyle w:val="Heading2"/>
      </w:pPr>
      <w:r>
        <w:t xml:space="preserve">Tactical Implementation Plan</w:t>
      </w:r>
    </w:p>
    <w:p>
      <w:pPr>
        <w:pStyle w:val="FirstParagraph"/>
      </w:pPr>
      <w:r>
        <w:t xml:space="preserve">Phase 1 (Months 1-4): Establish physical presence via a flagship Almaty office near Central Park, staffed by bilingual Architect teams. Launch "Cultural Design Consultations" workshops in partnership with local community centers.</w:t>
      </w:r>
    </w:p>
    <w:p>
      <w:pPr>
        <w:pStyle w:val="BodyText"/>
      </w:pPr>
      <w:r>
        <w:t xml:space="preserve">Phase 2 (Months 5-8): Execute pilot projects including the "Kok-Tobe Hillview Residential Complex" – a showcase of heritage-modern fusion for Kazakhstan Almaty's elite. Simultaneously, initiate developer outreach through the Association of Kazakh Construction Companies.</w:t>
      </w:r>
    </w:p>
    <w:p>
      <w:pPr>
        <w:pStyle w:val="BodyText"/>
      </w:pPr>
      <w:r>
        <w:t xml:space="preserve">Phase 3 (Months 9-18): Scale successful tactics. Develop "Architect Ambassador" program where satisfied clients become brand advocates at Almaty social events. Create a mobile app allowing potential clients to visualize designs in Almaty's urban context.</w:t>
      </w:r>
    </w:p>
    <w:bookmarkEnd w:id="25"/>
    <w:bookmarkStart w:id="26" w:name="budget-allocation"/>
    <w:p>
      <w:pPr>
        <w:pStyle w:val="Heading2"/>
      </w:pPr>
      <w:r>
        <w:t xml:space="preserve">Budget Allocation</w:t>
      </w:r>
    </w:p>
    <w:p>
      <w:pPr>
        <w:pStyle w:val="FirstParagraph"/>
      </w:pPr>
      <w:r>
        <w:t xml:space="preserve">With a $350,000 initial budget, we allocate:</w:t>
      </w:r>
    </w:p>
    <w:p>
      <w:pPr>
        <w:numPr>
          <w:ilvl w:val="0"/>
          <w:numId w:val="1004"/>
        </w:numPr>
        <w:pStyle w:val="Compact"/>
      </w:pPr>
      <w:r>
        <w:t xml:space="preserve">45% for digital marketing and cultural event sponsorships (prioritizing Kazakhstan Almaty's community-focused platforms).</w:t>
      </w:r>
    </w:p>
    <w:p>
      <w:pPr>
        <w:numPr>
          <w:ilvl w:val="0"/>
          <w:numId w:val="1004"/>
        </w:numPr>
        <w:pStyle w:val="Compact"/>
      </w:pPr>
      <w:r>
        <w:t xml:space="preserve">30% for on-ground marketing: office setup, workshops, and developer relationship building.</w:t>
      </w:r>
    </w:p>
    <w:p>
      <w:pPr>
        <w:numPr>
          <w:ilvl w:val="0"/>
          <w:numId w:val="1004"/>
        </w:numPr>
        <w:pStyle w:val="Compact"/>
      </w:pPr>
      <w:r>
        <w:t xml:space="preserve">15% for content creation: 3D visualizations of projects in Almaty's urban environment.</w:t>
      </w:r>
    </w:p>
    <w:p>
      <w:pPr>
        <w:numPr>
          <w:ilvl w:val="0"/>
          <w:numId w:val="1004"/>
        </w:numPr>
        <w:pStyle w:val="Compact"/>
      </w:pPr>
      <w:r>
        <w:t xml:space="preserve">10% contingency for regulatory adaptations within Kazakhstan's architectural standards.</w:t>
      </w:r>
    </w:p>
    <w:bookmarkEnd w:id="26"/>
    <w:bookmarkStart w:id="27" w:name="evaluation-framework"/>
    <w:p>
      <w:pPr>
        <w:pStyle w:val="Heading2"/>
      </w:pPr>
      <w:r>
        <w:t xml:space="preserve">Evaluation Framework</w:t>
      </w:r>
    </w:p>
    <w:p>
      <w:pPr>
        <w:pStyle w:val="FirstParagraph"/>
      </w:pPr>
      <w:r>
        <w:t xml:space="preserve">We measure success through three KPIs:</w:t>
      </w:r>
    </w:p>
    <w:p>
      <w:pPr>
        <w:numPr>
          <w:ilvl w:val="0"/>
          <w:numId w:val="1005"/>
        </w:numPr>
        <w:pStyle w:val="Compact"/>
      </w:pPr>
      <w:r>
        <w:rPr>
          <w:iCs/>
          <w:i/>
        </w:rPr>
        <w:t xml:space="preserve">Cultural Resonance Score:</w:t>
      </w:r>
      <w:r>
        <w:t xml:space="preserve"> </w:t>
      </w:r>
      <w:r>
        <w:t xml:space="preserve">Client satisfaction surveys assessing design authenticity to Kazakh identity (target: 90% positive).</w:t>
      </w:r>
    </w:p>
    <w:p>
      <w:pPr>
        <w:numPr>
          <w:ilvl w:val="0"/>
          <w:numId w:val="1005"/>
        </w:numPr>
        <w:pStyle w:val="Compact"/>
      </w:pPr>
      <w:r>
        <w:rPr>
          <w:iCs/>
          <w:i/>
        </w:rPr>
        <w:t xml:space="preserve">Market Share Growth:</w:t>
      </w:r>
      <w:r>
        <w:t xml:space="preserve"> </w:t>
      </w:r>
      <w:r>
        <w:t xml:space="preserve">Quarterly tracking against Almaty's architectural firms via industry reports.</w:t>
      </w:r>
    </w:p>
    <w:p>
      <w:pPr>
        <w:numPr>
          <w:ilvl w:val="0"/>
          <w:numId w:val="1005"/>
        </w:numPr>
        <w:pStyle w:val="Compact"/>
      </w:pPr>
      <w:r>
        <w:rPr>
          <w:iCs/>
          <w:i/>
        </w:rPr>
        <w:t xml:space="preserve">Social Impact Metrics:</w:t>
      </w:r>
      <w:r>
        <w:t xml:space="preserve"> </w:t>
      </w:r>
      <w:r>
        <w:t xml:space="preserve">Community participation rates in our design workshops (target: 200+ attendees per event).</w:t>
      </w:r>
    </w:p>
    <w:p>
      <w:pPr>
        <w:pStyle w:val="FirstParagraph"/>
      </w:pPr>
      <w:r>
        <w:t xml:space="preserve">This Marketing Plan includes monthly reviews with Almaty-based focus groups to ensure continuous alignment with local needs. Quarterly financial audits will track ROI against the $1.2M revenue target.</w:t>
      </w:r>
    </w:p>
    <w:bookmarkEnd w:id="27"/>
    <w:bookmarkStart w:id="28" w:name="conclusion"/>
    <w:p>
      <w:pPr>
        <w:pStyle w:val="Heading2"/>
      </w:pPr>
      <w:r>
        <w:t xml:space="preserve">Conclusion</w:t>
      </w:r>
    </w:p>
    <w:p>
      <w:pPr>
        <w:pStyle w:val="FirstParagraph"/>
      </w:pPr>
      <w:r>
        <w:t xml:space="preserve">This Marketing Plan positions our Architect firm not merely as a service provider but as a cultural catalyst for Kazakhstan Almaty's urban evolution. By embedding Kazakh heritage into every project, we transform architecture from transaction to legacy – creating spaces that honor the past while building Almaty's future. The success of this plan will redefine architectural excellence in Kazakhstan, proving that true innovation flourishes where global expertise meets local soul. As we execute this Marketing Plan across Kazakhstan Almaty's vibrant landscape, our Architect firm will become synonymous with culturally intelligent design – turning every project into a testament to the city's evolving identity.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Kazakhstan Almaty</dc:title>
  <dc:creator/>
  <dc:language>en</dc:language>
  <cp:keywords/>
  <dcterms:created xsi:type="dcterms:W3CDTF">2026-07-21T02:29:37Z</dcterms:created>
  <dcterms:modified xsi:type="dcterms:W3CDTF">2026-07-21T02:29:37Z</dcterms:modified>
</cp:coreProperties>
</file>

<file path=docProps/custom.xml><?xml version="1.0" encoding="utf-8"?>
<Properties xmlns="http://schemas.openxmlformats.org/officeDocument/2006/custom-properties" xmlns:vt="http://schemas.openxmlformats.org/officeDocument/2006/docPropsVTypes"/>
</file>