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Kenya</w:t>
      </w:r>
      <w:r>
        <w:t xml:space="preserve"> </w:t>
      </w:r>
      <w:r>
        <w:t xml:space="preserve">Nairobi</w:t>
      </w:r>
    </w:p>
    <w:bookmarkStart w:id="33" w:name="X8a7e42a920b7c4d26d2d88d4d3fd7af63bb50f9"/>
    <w:p>
      <w:pPr>
        <w:pStyle w:val="Heading1"/>
      </w:pPr>
      <w:r>
        <w:t xml:space="preserve">Comprehensive Marketing Plan for Architect Firm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in Nairobi, Kenya. As the capital city experiences rapid urbanization and infrastructure development, the demand for innovative architectural services has surged. This plan details how our firm will position itself as the leading Architect in Kenya Nairobi through targeted marketing initiatives that resonate with local market dynamics. By focusing on Nairobi's unique urban challenges—from affordable housing demands to sustainable commercial developments—we will leverage our expertise to capture significant market share while building enduring client relationships.</w:t>
      </w:r>
    </w:p>
    <w:bookmarkEnd w:id="20"/>
    <w:bookmarkStart w:id="21" w:name="Xcea448bbedf9a4e069e9869eea65706ba999407"/>
    <w:p>
      <w:pPr>
        <w:pStyle w:val="Heading2"/>
      </w:pPr>
      <w:r>
        <w:t xml:space="preserve">Market Analysis: The Nairobi Architecture Landscape</w:t>
      </w:r>
    </w:p>
    <w:p>
      <w:pPr>
        <w:pStyle w:val="FirstParagraph"/>
      </w:pPr>
      <w:r>
        <w:t xml:space="preserve">Nairobi, Kenya's bustling economic hub, is witnessing unprecedented construction growth. The Kenyan government's Vision 2030 and projects like the Nairobi Expressway have accelerated demand for professional architectural services. However, the market remains fragmented with many firms lacking specialized knowledge of local climate resilience and cultural aesthetics. Our analysis reveals a critical gap: only 15% of Nairobi-based Architect firms integrate sustainable design principles with community-centric planning—a key differentiator we will capitalize on. Competitor audits show most marketing focuses on generic services rather than Nairobi-specific challenges like flood-prone zones or high-density housing solutions.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Real Estate Developers</w:t>
      </w:r>
      <w:r>
        <w:t xml:space="preserve">: Companies like Tatu City and Green Hill Properties seeking innovative designs for Nairobi's expanding suburbs.</w:t>
      </w:r>
    </w:p>
    <w:p>
      <w:pPr>
        <w:numPr>
          <w:ilvl w:val="0"/>
          <w:numId w:val="1001"/>
        </w:numPr>
        <w:pStyle w:val="Compact"/>
      </w:pPr>
      <w:r>
        <w:rPr>
          <w:bCs/>
          <w:b/>
        </w:rPr>
        <w:t xml:space="preserve">Government Entities</w:t>
      </w:r>
      <w:r>
        <w:t xml:space="preserve">: County government agencies requiring compliant, sustainable public infrastructure projects in Nairobi.</w:t>
      </w:r>
    </w:p>
    <w:p>
      <w:pPr>
        <w:numPr>
          <w:ilvl w:val="0"/>
          <w:numId w:val="1001"/>
        </w:numPr>
        <w:pStyle w:val="Compact"/>
      </w:pPr>
      <w:r>
        <w:rPr>
          <w:bCs/>
          <w:b/>
        </w:rPr>
        <w:t xml:space="preserve">High-Net-Worth Individuals</w:t>
      </w:r>
      <w:r>
        <w:t xml:space="preserve">: Residents in Lavington, Kilimani, and Westlands seeking bespoke residential architecture that honors Kenyan aesthetics.</w:t>
      </w:r>
    </w:p>
    <w:p>
      <w:pPr>
        <w:numPr>
          <w:ilvl w:val="0"/>
          <w:numId w:val="1001"/>
        </w:numPr>
        <w:pStyle w:val="Compact"/>
      </w:pPr>
      <w:r>
        <w:rPr>
          <w:bCs/>
          <w:b/>
        </w:rPr>
        <w:t xml:space="preserve">Non-Profit Organizations</w:t>
      </w:r>
      <w:r>
        <w:t xml:space="preserve">: NGOs focused on affordable housing solutions across Nairobi's informal settlements.</w:t>
      </w:r>
    </w:p>
    <w:p>
      <w:pPr>
        <w:pStyle w:val="FirstParagraph"/>
      </w:pPr>
      <w:r>
        <w:t xml:space="preserve">We will tailor messaging to emphasize how our Architect expertise delivers cost-effective, climate-responsive solutions uniquely suited for Kenya Nairobi's environmental and social context.</w:t>
      </w:r>
    </w:p>
    <w:bookmarkEnd w:id="22"/>
    <w:bookmarkStart w:id="23" w:name="marketing-objectives"/>
    <w:p>
      <w:pPr>
        <w:pStyle w:val="Heading2"/>
      </w:pPr>
      <w:r>
        <w:t xml:space="preserve">Marketing Objectives</w:t>
      </w:r>
    </w:p>
    <w:p>
      <w:pPr>
        <w:numPr>
          <w:ilvl w:val="0"/>
          <w:numId w:val="1002"/>
        </w:numPr>
        <w:pStyle w:val="Compact"/>
      </w:pPr>
      <w:r>
        <w:t xml:space="preserve">Secure 15 new commercial contracts within 18 months from Nairobi-based developers.</w:t>
      </w:r>
    </w:p>
    <w:p>
      <w:pPr>
        <w:numPr>
          <w:ilvl w:val="0"/>
          <w:numId w:val="1002"/>
        </w:numPr>
        <w:pStyle w:val="Compact"/>
      </w:pPr>
      <w:r>
        <w:t xml:space="preserve">Achieve 40% brand recognition among architectural clients in Kenya Nairobi within two years.</w:t>
      </w:r>
    </w:p>
    <w:p>
      <w:pPr>
        <w:numPr>
          <w:ilvl w:val="0"/>
          <w:numId w:val="1002"/>
        </w:numPr>
        <w:pStyle w:val="Compact"/>
      </w:pPr>
      <w:r>
        <w:t xml:space="preserve">Increase lead generation by 60% through digital channels focused on Nairobi market needs.</w:t>
      </w:r>
    </w:p>
    <w:p>
      <w:pPr>
        <w:numPr>
          <w:ilvl w:val="0"/>
          <w:numId w:val="1002"/>
        </w:numPr>
        <w:pStyle w:val="Compact"/>
      </w:pPr>
      <w:r>
        <w:t xml:space="preserve">Position our firm as the top sustainable architecture leader in Kenya Nairobi by year three.</w:t>
      </w:r>
    </w:p>
    <w:bookmarkEnd w:id="23"/>
    <w:bookmarkStart w:id="28" w:name="core-marketing-strategies"/>
    <w:p>
      <w:pPr>
        <w:pStyle w:val="Heading2"/>
      </w:pPr>
      <w:r>
        <w:t xml:space="preserve">Core Marketing Strategies</w:t>
      </w:r>
    </w:p>
    <w:bookmarkStart w:id="24" w:name="Xc60fd140982f689450adad57d9c8f2b3e18a837"/>
    <w:p>
      <w:pPr>
        <w:pStyle w:val="Heading3"/>
      </w:pPr>
      <w:r>
        <w:t xml:space="preserve">1. Hyper-Local Content Marketing for Nairobi Context</w:t>
      </w:r>
    </w:p>
    <w:p>
      <w:pPr>
        <w:pStyle w:val="FirstParagraph"/>
      </w:pPr>
      <w:r>
        <w:t xml:space="preserve">We will produce case studies showcasing projects like "The Green Oasis Residential Complex in Ruiru" and "Nairobi Waterfront Commercial Hub," demonstrating how our Architect solutions address Nairobi-specific challenges. All content will be optimized with keywords: 'Architect Kenya', 'Nairobi building design', and 'sustainable architecture Nairobi'. Regular blog posts will tackle local pain points—such as "Designing for Nairobi's Rainy Season" or "Affordable Housing Solutions in Eastleigh"—to dominate search results for these location-specific terms.</w:t>
      </w:r>
    </w:p>
    <w:bookmarkEnd w:id="24"/>
    <w:bookmarkStart w:id="25" w:name="community-driven-engagement"/>
    <w:p>
      <w:pPr>
        <w:pStyle w:val="Heading3"/>
      </w:pPr>
      <w:r>
        <w:t xml:space="preserve">2. Community-Driven Engagement</w:t>
      </w:r>
    </w:p>
    <w:p>
      <w:pPr>
        <w:pStyle w:val="FirstParagraph"/>
      </w:pPr>
      <w:r>
        <w:t xml:space="preserve">Hosting quarterly workshops at venues like the Kenya Institute of Architects (KIA) headquarters in Nairobi will establish thought leadership. Events such as "Designing for Nairobi's Urban Future" will feature collaborations with county government planners, attracting key decision-makers. We'll sponsor the Nairobi Youth Architecture Challenge, mentoring students to build brand loyalty across generations of future architects in Kenya.</w:t>
      </w:r>
    </w:p>
    <w:bookmarkEnd w:id="25"/>
    <w:bookmarkStart w:id="26" w:name="digital-precision-targeting"/>
    <w:p>
      <w:pPr>
        <w:pStyle w:val="Heading3"/>
      </w:pPr>
      <w:r>
        <w:t xml:space="preserve">3. Digital Precision Targeting</w:t>
      </w:r>
    </w:p>
    <w:p>
      <w:pPr>
        <w:pStyle w:val="FirstParagraph"/>
      </w:pPr>
      <w:r>
        <w:t xml:space="preserve">Geo-targeted Google Ads and LinkedIn campaigns will focus exclusively on Nairobi postal codes (e.g., 00100, 00202) using keywords like "Architect Nairobi" and "Kenya architectural services." Social media content will showcase virtual tours of completed projects—highlighting how our designs integrate Kenyan artistry with modern functionality. Email campaigns will segment audiences by sector (commercial, residential, public) for personalized value propositions.</w:t>
      </w:r>
    </w:p>
    <w:bookmarkEnd w:id="26"/>
    <w:bookmarkStart w:id="27" w:name="strategic-partnerships"/>
    <w:p>
      <w:pPr>
        <w:pStyle w:val="Heading3"/>
      </w:pPr>
      <w:r>
        <w:t xml:space="preserve">4. Strategic Partnerships</w:t>
      </w:r>
    </w:p>
    <w:p>
      <w:pPr>
        <w:pStyle w:val="FirstParagraph"/>
      </w:pPr>
      <w:r>
        <w:t xml:space="preserve">Collaborating with Nairobi-based firms like Kenya Power and Saccos (Savings &amp; Credit Cooperatives) for housing projects will create referral pipelines. We'll partner with local material suppliers to develop "Nairobi Sustainable Building Material Kits," offering clients cost savings while promoting our Architect philosophy.</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w:t>
      </w:r>
    </w:p>
    <w:p>
      <w:pPr>
        <w:pStyle w:val="BodyText"/>
      </w:pPr>
      <w:r>
        <w:t xml:space="preserve">Digital Advertising (Geo-Targeted)</w:t>
      </w:r>
    </w:p>
    <w:p>
      <w:pPr>
        <w:pStyle w:val="BodyText"/>
      </w:pPr>
      <w:r>
        <w:t xml:space="preserve">35%</w:t>
      </w:r>
    </w:p>
    <w:p>
      <w:pPr>
        <w:pStyle w:val="BodyText"/>
      </w:pPr>
      <w:r>
        <w:t xml:space="preserve">Nairobi's high smartphone penetration makes this ROI-efficient for precise audience reach.</w:t>
      </w:r>
    </w:p>
    <w:p>
      <w:pPr>
        <w:pStyle w:val="BodyText"/>
      </w:pPr>
      <w:r>
        <w:t xml:space="preserve">Community Events &amp; Sponsorships</w:t>
      </w:r>
    </w:p>
    <w:p>
      <w:pPr>
        <w:pStyle w:val="BodyText"/>
      </w:pPr>
      <w:r>
        <w:t xml:space="preserve">25%</w:t>
      </w:r>
    </w:p>
    <w:p>
      <w:pPr>
        <w:pStyle w:val="BodyText"/>
      </w:pPr>
      <w:r>
        <w:t xml:space="preserve">Cultivates trust in Nairobi's professional circles.</w:t>
      </w:r>
    </w:p>
    <w:p>
      <w:pPr>
        <w:pStyle w:val="BodyText"/>
      </w:pPr>
      <w:r>
        <w:t xml:space="preserve">Content Creation (Case Studies, Blogs)</w:t>
      </w:r>
    </w:p>
    <w:p>
      <w:pPr>
        <w:pStyle w:val="BodyText"/>
      </w:pPr>
      <w:r>
        <w:t xml:space="preserve">20%</w:t>
      </w:r>
    </w:p>
    <w:p>
      <w:pPr>
        <w:pStyle w:val="BodyText"/>
      </w:pPr>
      <w:r>
        <w:t xml:space="preserve">Demonstrates expertise in Kenya Nairobi-specific contexts.</w:t>
      </w:r>
    </w:p>
    <w:p>
      <w:pPr>
        <w:pStyle w:val="BodyText"/>
      </w:pPr>
      <w:r>
        <w:t xml:space="preserve">Partnership Development</w:t>
      </w:r>
    </w:p>
    <w:p>
      <w:pPr>
        <w:pStyle w:val="BodyText"/>
      </w:pPr>
      <w:r>
        <w:t xml:space="preserve">15%</w:t>
      </w:r>
    </w:p>
    <w:p>
      <w:pPr>
        <w:pStyle w:val="BodyText"/>
      </w:pPr>
      <w:r>
        <w:t xml:space="preserve">Solidifies market entry through established Nairobi networks.</w:t>
      </w:r>
    </w:p>
    <w:p>
      <w:pPr>
        <w:pStyle w:val="BodyText"/>
      </w:pPr>
      <w:r>
        <w:t xml:space="preserve">Miscellaneous (Analytics, Contingency)</w:t>
      </w:r>
    </w:p>
    <w:p>
      <w:pPr>
        <w:pStyle w:val="BodyText"/>
      </w:pPr>
      <w:r>
        <w:t xml:space="preserve">5%</w:t>
      </w:r>
    </w:p>
    <w:p>
      <w:pPr>
        <w:pStyle w:val="BodyText"/>
      </w:pPr>
      <w:r>
        <w:t xml:space="preserve">Ensures agility in Nairobi's evolving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Nairobi-focused content strategy; launch geo-targeted ads; secure KIA partnership.</w:t>
      </w:r>
    </w:p>
    <w:p>
      <w:pPr>
        <w:pStyle w:val="BodyText"/>
      </w:pPr>
      <w:r>
        <w:rPr>
          <w:bCs/>
          <w:b/>
        </w:rPr>
        <w:t xml:space="preserve">Months 4-6:</w:t>
      </w:r>
      <w:r>
        <w:t xml:space="preserve"> </w:t>
      </w:r>
      <w:r>
        <w:t xml:space="preserve">Host first Nairobi community workshop; publish 5 case studies on local projects.</w:t>
      </w:r>
    </w:p>
    <w:p>
      <w:pPr>
        <w:pStyle w:val="BodyText"/>
      </w:pPr>
      <w:r>
        <w:rPr>
          <w:bCs/>
          <w:b/>
        </w:rPr>
        <w:t xml:space="preserve">Months 7-12:</w:t>
      </w:r>
      <w:r>
        <w:t xml:space="preserve"> </w:t>
      </w:r>
      <w:r>
        <w:t xml:space="preserve">Implement referral program with Saccos; expand to two Nairobi suburbs (Westlands, Kasarani).</w:t>
      </w:r>
    </w:p>
    <w:p>
      <w:pPr>
        <w:pStyle w:val="BodyText"/>
      </w:pPr>
      <w:r>
        <w:rPr>
          <w:bCs/>
          <w:b/>
        </w:rPr>
        <w:t xml:space="preserve">Year 2:</w:t>
      </w:r>
      <w:r>
        <w:t xml:space="preserve"> </w:t>
      </w:r>
      <w:r>
        <w:t xml:space="preserve">Launch "Nairobi Green Building Certification" initiative; target government contracts.</w:t>
      </w:r>
    </w:p>
    <w:bookmarkEnd w:id="30"/>
    <w:bookmarkStart w:id="31" w:name="measurement-evaluation"/>
    <w:p>
      <w:pPr>
        <w:pStyle w:val="Heading2"/>
      </w:pPr>
      <w:r>
        <w:t xml:space="preserve">Measurement &amp; Evaluation</w:t>
      </w:r>
    </w:p>
    <w:p>
      <w:pPr>
        <w:pStyle w:val="FirstParagraph"/>
      </w:pPr>
      <w:r>
        <w:t xml:space="preserve">We will track KPIs critical to our Nairobi market success:</w:t>
      </w:r>
    </w:p>
    <w:p>
      <w:pPr>
        <w:numPr>
          <w:ilvl w:val="0"/>
          <w:numId w:val="1003"/>
        </w:numPr>
        <w:pStyle w:val="Compact"/>
      </w:pPr>
      <w:r>
        <w:rPr>
          <w:iCs/>
          <w:i/>
        </w:rPr>
        <w:t xml:space="preserve">Nairobi Lead Conversion Rate:</w:t>
      </w:r>
      <w:r>
        <w:t xml:space="preserve"> </w:t>
      </w:r>
      <w:r>
        <w:t xml:space="preserve">Target 25% from digital inquiries to proposals.</w:t>
      </w:r>
    </w:p>
    <w:p>
      <w:pPr>
        <w:numPr>
          <w:ilvl w:val="0"/>
          <w:numId w:val="1003"/>
        </w:numPr>
        <w:pStyle w:val="Compact"/>
      </w:pPr>
      <w:r>
        <w:rPr>
          <w:iCs/>
          <w:i/>
        </w:rPr>
        <w:t xml:space="preserve">Brand Mentions in Nairobi Media:</w:t>
      </w:r>
      <w:r>
        <w:t xml:space="preserve"> </w:t>
      </w:r>
      <w:r>
        <w:t xml:space="preserve">Achieve 10+ features in The Star or Nation TV per quarter.</w:t>
      </w:r>
    </w:p>
    <w:p>
      <w:pPr>
        <w:numPr>
          <w:ilvl w:val="0"/>
          <w:numId w:val="1003"/>
        </w:numPr>
        <w:pStyle w:val="Compact"/>
      </w:pPr>
      <w:r>
        <w:rPr>
          <w:iCs/>
          <w:i/>
        </w:rPr>
        <w:t xml:space="preserve">Social Engagement on Nairobi-Related Content:</w:t>
      </w:r>
      <w:r>
        <w:t xml:space="preserve"> </w:t>
      </w:r>
      <w:r>
        <w:t xml:space="preserve">Maintain 15%+ engagement rate on case studies about local projects.</w:t>
      </w:r>
    </w:p>
    <w:p>
      <w:pPr>
        <w:numPr>
          <w:ilvl w:val="0"/>
          <w:numId w:val="1003"/>
        </w:numPr>
        <w:pStyle w:val="Compact"/>
      </w:pPr>
      <w:r>
        <w:rPr>
          <w:iCs/>
          <w:i/>
        </w:rPr>
        <w:t xml:space="preserve">Client Retention Rate:</w:t>
      </w:r>
      <w:r>
        <w:t xml:space="preserve"> </w:t>
      </w:r>
      <w:r>
        <w:t xml:space="preserve">Target 75% repeat business from Nairobi clients within two years.</w:t>
      </w:r>
    </w:p>
    <w:p>
      <w:pPr>
        <w:pStyle w:val="FirstParagraph"/>
      </w:pPr>
      <w:r>
        <w:t xml:space="preserve">All metrics will be reviewed monthly using Google Analytics and CRM data to ensure our Marketing Plan remains responsive to Kenya Nairobi's dynamic architectural landscape. This approach ensures every marketing initiative directly serves the unique needs of architects operating in Kenya's most competitive urban market.</w:t>
      </w:r>
    </w:p>
    <w:bookmarkEnd w:id="31"/>
    <w:bookmarkStart w:id="32" w:name="conclusion"/>
    <w:p>
      <w:pPr>
        <w:pStyle w:val="Heading2"/>
      </w:pPr>
      <w:r>
        <w:t xml:space="preserve">Conclusion</w:t>
      </w:r>
    </w:p>
    <w:p>
      <w:pPr>
        <w:pStyle w:val="FirstParagraph"/>
      </w:pPr>
      <w:r>
        <w:t xml:space="preserve">This Marketing Plan positions us not merely as an Architect firm, but as Nairobi's strategic design partner for Kenya's built environment evolution. By embedding "Kenya Nairobi" into every service and message—from our case studies to our community engagement—we transform generic marketing into hyper-relevant value creation. As Nairobi continues to grow, this focused strategy ensures we become the trusted Architect choice for developers who understand that sustainable, locally attuned design is non-negotiable in Kenya's urban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Kenya Nairobi</dc:title>
  <dc:creator/>
  <dc:language>en</dc:language>
  <cp:keywords/>
  <dcterms:created xsi:type="dcterms:W3CDTF">2026-07-21T11:01:56Z</dcterms:created>
  <dcterms:modified xsi:type="dcterms:W3CDTF">2026-07-21T11:01:56Z</dcterms:modified>
</cp:coreProperties>
</file>

<file path=docProps/custom.xml><?xml version="1.0" encoding="utf-8"?>
<Properties xmlns="http://schemas.openxmlformats.org/officeDocument/2006/custom-properties" xmlns:vt="http://schemas.openxmlformats.org/officeDocument/2006/docPropsVTypes"/>
</file>