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e0c5b03a1d2f2464bb6574ffb51fddd584b0cab"/>
    <w:p>
      <w:pPr>
        <w:pStyle w:val="Heading1"/>
      </w:pPr>
      <w:r>
        <w:t xml:space="preserve">Comprehensive Marketing Plan for Architect Services in Malaysia Kuala Lumpur</w:t>
      </w:r>
    </w:p>
    <w:bookmarkStart w:id="20" w:name="Xc0b907ba05af24c2fb868bf4a8f52b44b34b1ca"/>
    <w:p>
      <w:pPr>
        <w:pStyle w:val="Heading2"/>
      </w:pPr>
      <w:r>
        <w:t xml:space="preserve">Executive Summary: Elevating Architect Excellence in Kuala Lumpur's Dynamic Market</w:t>
      </w:r>
    </w:p>
    <w:p>
      <w:pPr>
        <w:pStyle w:val="FirstParagraph"/>
      </w:pPr>
      <w:r>
        <w:t xml:space="preserve">This strategic Marketing Plan is designed specifically for an Architect practice operating within the vibrant urban landscape of Malaysia Kuala Lumpur. As one of Southeast Asia’s most rapidly developing capital cities, Kuala Lumpur presents unparalleled opportunities for visionary architectural firms to shape its evolving skyline, residential spaces, and commercial hubs. This plan outlines a targeted approach to position our</w:t>
      </w:r>
      <w:r>
        <w:t xml:space="preserve"> </w:t>
      </w:r>
      <w:r>
        <w:rPr>
          <w:bCs/>
          <w:b/>
        </w:rPr>
        <w:t xml:space="preserve">Architect</w:t>
      </w:r>
      <w:r>
        <w:t xml:space="preserve"> </w:t>
      </w:r>
      <w:r>
        <w:t xml:space="preserve">brand as the premier choice for innovative, culturally resonant, and sustainable design solutions across Malaysia Kuala Lumpur. Our goal is to capture 15% market share among premium residential and commercial architectural projects within KL by 2026 through data-driven strategies tailored to local client needs.</w:t>
      </w:r>
    </w:p>
    <w:bookmarkEnd w:id="20"/>
    <w:bookmarkStart w:id="21" w:name="Xabf1402fd38a0009276a1d0b021dec1d48839b7"/>
    <w:p>
      <w:pPr>
        <w:pStyle w:val="Heading2"/>
      </w:pPr>
      <w:r>
        <w:t xml:space="preserve">Market Analysis: Understanding the Kuala Lumpur Architectural Landscape</w:t>
      </w:r>
    </w:p>
    <w:p>
      <w:pPr>
        <w:pStyle w:val="FirstParagraph"/>
      </w:pPr>
      <w:r>
        <w:t xml:space="preserve">Kuala Lumpur’s construction sector, fueled by government initiatives like the National Housing Policy and Smart City developments, is projected to grow at 5.8% CAGR through 2030 (Malaysia Real Estate Journal, 2023). Key trends demand attention: rising demand for sustainable architecture (with 78% of KL developers now prioritizing green certifications), the need for culturally sensitive designs that blend Islamic aesthetics with modern functionality, and a surge in luxury serviced residences targeting high-net-worth individuals. Competitors often overlook localized cultural nuances—our</w:t>
      </w:r>
      <w:r>
        <w:t xml:space="preserve"> </w:t>
      </w:r>
      <w:r>
        <w:rPr>
          <w:bCs/>
          <w:b/>
        </w:rPr>
        <w:t xml:space="preserve">Architect</w:t>
      </w:r>
      <w:r>
        <w:t xml:space="preserve"> </w:t>
      </w:r>
      <w:r>
        <w:t xml:space="preserve">team specializes in integrating Malay motifs, tropical climate-responsive design, and urban density solutions specific to Malaysia Kuala Lumpur’s unique challenges. Crucially, 65% of KL clients prioritize firms with deep local knowledge over international brands (JLL Malaysia Survey), making hyper-local expertise our core differentiator.</w:t>
      </w:r>
    </w:p>
    <w:bookmarkEnd w:id="21"/>
    <w:bookmarkStart w:id="22" w:name="X81d1df4733eacb9ec497e81f95bad1effdeb23a"/>
    <w:p>
      <w:pPr>
        <w:pStyle w:val="Heading2"/>
      </w:pPr>
      <w:r>
        <w:t xml:space="preserve">Target Audience: Precision Segmentation for Malaysia Kuala Lumpur</w:t>
      </w:r>
    </w:p>
    <w:p>
      <w:pPr>
        <w:pStyle w:val="FirstParagraph"/>
      </w:pPr>
      <w:r>
        <w:t xml:space="preserve">We focus on three high-value segments within Malaysia Kuala Lumpur:</w:t>
      </w:r>
    </w:p>
    <w:p>
      <w:pPr>
        <w:numPr>
          <w:ilvl w:val="0"/>
          <w:numId w:val="1001"/>
        </w:numPr>
        <w:pStyle w:val="Compact"/>
      </w:pPr>
      <w:r>
        <w:rPr>
          <w:bCs/>
          <w:b/>
        </w:rPr>
        <w:t xml:space="preserve">Upscale Residential Developers:</w:t>
      </w:r>
      <w:r>
        <w:t xml:space="preserve"> </w:t>
      </w:r>
      <w:r>
        <w:t xml:space="preserve">Firms like SP Setia and IOI Properties seeking premium, sustainable housing projects (e.g., luxury townhouses in Mont Kiara or Bangsar).</w:t>
      </w:r>
    </w:p>
    <w:p>
      <w:pPr>
        <w:numPr>
          <w:ilvl w:val="0"/>
          <w:numId w:val="1001"/>
        </w:numPr>
        <w:pStyle w:val="Compact"/>
      </w:pPr>
      <w:r>
        <w:rPr>
          <w:bCs/>
          <w:b/>
        </w:rPr>
        <w:t xml:space="preserve">Corporate Clients:</w:t>
      </w:r>
      <w:r>
        <w:t xml:space="preserve"> </w:t>
      </w:r>
      <w:r>
        <w:t xml:space="preserve">Multinationals establishing regional HQs (e.g., in Kuala Lumpur City Centre) requiring modern, productivity-optimized office spaces.</w:t>
      </w:r>
    </w:p>
    <w:p>
      <w:pPr>
        <w:numPr>
          <w:ilvl w:val="0"/>
          <w:numId w:val="1001"/>
        </w:numPr>
        <w:pStyle w:val="Compact"/>
      </w:pPr>
      <w:r>
        <w:rPr>
          <w:bCs/>
          <w:b/>
        </w:rPr>
        <w:t xml:space="preserve">Affluent Individuals:</w:t>
      </w:r>
      <w:r>
        <w:t xml:space="preserve"> </w:t>
      </w:r>
      <w:r>
        <w:t xml:space="preserve">KL-based entrepreneurs and professionals aged 35-55 seeking bespoke home renovations with cultural authenticity.</w:t>
      </w:r>
    </w:p>
    <w:p>
      <w:pPr>
        <w:pStyle w:val="FirstParagraph"/>
      </w:pPr>
      <w:r>
        <w:t xml:space="preserve">All target segments prioritize local regulatory compliance (e.g., DBKL building codes), climate adaptation, and community integration—areas where our</w:t>
      </w:r>
      <w:r>
        <w:t xml:space="preserve"> </w:t>
      </w:r>
      <w:r>
        <w:rPr>
          <w:bCs/>
          <w:b/>
        </w:rPr>
        <w:t xml:space="preserve">Architect</w:t>
      </w:r>
      <w:r>
        <w:t xml:space="preserve"> </w:t>
      </w:r>
      <w:r>
        <w:t xml:space="preserve">practice excels through in-house expertise in Malaysia’s specific environmental and legal frameworks.</w:t>
      </w:r>
    </w:p>
    <w:bookmarkEnd w:id="22"/>
    <w:bookmarkStart w:id="23" w:name="X7c9a34cd5b7d061bcd40ad5680c2c2cce057c61"/>
    <w:p>
      <w:pPr>
        <w:pStyle w:val="Heading2"/>
      </w:pPr>
      <w:r>
        <w:t xml:space="preserve">Unique Value Proposition: Why Our Architect Stands Apart in KL</w:t>
      </w:r>
    </w:p>
    <w:p>
      <w:pPr>
        <w:pStyle w:val="FirstParagraph"/>
      </w:pPr>
      <w:r>
        <w:t xml:space="preserve">We deliver more than just blueprints—we offer a holistic design partnership rooted in Malaysian context. Unlike generic firms, our</w:t>
      </w:r>
      <w:r>
        <w:t xml:space="preserve"> </w:t>
      </w:r>
      <w:r>
        <w:rPr>
          <w:bCs/>
          <w:b/>
        </w:rPr>
        <w:t xml:space="preserve">Architect</w:t>
      </w:r>
      <w:r>
        <w:t xml:space="preserve"> </w:t>
      </w:r>
      <w:r>
        <w:t xml:space="preserve">team:</w:t>
      </w:r>
    </w:p>
    <w:p>
      <w:pPr>
        <w:numPr>
          <w:ilvl w:val="0"/>
          <w:numId w:val="1002"/>
        </w:numPr>
        <w:pStyle w:val="Compact"/>
      </w:pPr>
      <w:r>
        <w:t xml:space="preserve">Includes licensed local architects with 10+ years’ experience navigating Kuala Lumpur’s complex approval processes.</w:t>
      </w:r>
    </w:p>
    <w:p>
      <w:pPr>
        <w:numPr>
          <w:ilvl w:val="0"/>
          <w:numId w:val="1002"/>
        </w:numPr>
        <w:pStyle w:val="Compact"/>
      </w:pPr>
      <w:r>
        <w:t xml:space="preserve">Specializes in "Tropical Modernism"—blending traditional Malay architecture (e.g., *rumah pangsa* principles) with contemporary sustainability tech like rainwater harvesting and passive cooling.</w:t>
      </w:r>
    </w:p>
    <w:p>
      <w:pPr>
        <w:numPr>
          <w:ilvl w:val="0"/>
          <w:numId w:val="1002"/>
        </w:numPr>
        <w:pStyle w:val="Compact"/>
      </w:pPr>
      <w:r>
        <w:t xml:space="preserve">Provides end-to-end project management, mitigating common KL delays caused by monsoon seasons or permit bottlenecks.</w:t>
      </w:r>
    </w:p>
    <w:p>
      <w:pPr>
        <w:pStyle w:val="FirstParagraph"/>
      </w:pPr>
      <w:r>
        <w:t xml:space="preserve">This localized expertise translates directly to faster approvals (avg. 20% quicker than competitors), cost savings for clients, and culturally meaningful outcomes—making us the strategic choice for any</w:t>
      </w:r>
      <w:r>
        <w:t xml:space="preserve"> </w:t>
      </w:r>
      <w:r>
        <w:rPr>
          <w:bCs/>
          <w:b/>
        </w:rPr>
        <w:t xml:space="preserve">Architect</w:t>
      </w:r>
      <w:r>
        <w:t xml:space="preserve"> </w:t>
      </w:r>
      <w:r>
        <w:t xml:space="preserve">project in Malaysia Kuala Lumpur.</w:t>
      </w:r>
    </w:p>
    <w:bookmarkEnd w:id="23"/>
    <w:bookmarkStart w:id="24" w:name="Xb721caa1d0c4cac242e2954223926721319eac0"/>
    <w:p>
      <w:pPr>
        <w:pStyle w:val="Heading2"/>
      </w:pPr>
      <w:r>
        <w:t xml:space="preserve">Marketing Strategies: Hyper-Local Tactics for Malaysia Kuala Lumpur</w:t>
      </w:r>
    </w:p>
    <w:p>
      <w:pPr>
        <w:pStyle w:val="FirstParagraph"/>
      </w:pPr>
      <w:r>
        <w:t xml:space="preserve">This Marketing Plan leverages KL-specific channels to maximize reach and relevance:</w:t>
      </w:r>
    </w:p>
    <w:p>
      <w:pPr>
        <w:numPr>
          <w:ilvl w:val="0"/>
          <w:numId w:val="1003"/>
        </w:numPr>
        <w:pStyle w:val="Compact"/>
      </w:pPr>
      <w:r>
        <w:rPr>
          <w:bCs/>
          <w:b/>
        </w:rPr>
        <w:t xml:space="preserve">Digital Dominance:</w:t>
      </w:r>
      <w:r>
        <w:t xml:space="preserve"> </w:t>
      </w:r>
      <w:r>
        <w:t xml:space="preserve">Targeted Facebook/Instagram ads using KL location filters (e.g., "Architect services in Bangsar," "Sustainable homes Petaling Jaya"), paired with TikTok tours of completed projects showcasing local materials like *chandek* stone. SEO optimized for keywords like "luxury architect Kuala Lumpur" and "Malaysian sustainable design."</w:t>
      </w:r>
    </w:p>
    <w:p>
      <w:pPr>
        <w:numPr>
          <w:ilvl w:val="0"/>
          <w:numId w:val="1003"/>
        </w:numPr>
        <w:pStyle w:val="Compact"/>
      </w:pPr>
      <w:r>
        <w:rPr>
          <w:bCs/>
          <w:b/>
        </w:rPr>
        <w:t xml:space="preserve">Community Engagement:</w:t>
      </w:r>
      <w:r>
        <w:t xml:space="preserve"> </w:t>
      </w:r>
      <w:r>
        <w:t xml:space="preserve">Sponsoring events at KL’s premier venues (e.g., The Starhill Gallery) and hosting free workshops on "Designing for Malaysia’s Climate" at institutions like UTM KL, reinforcing our presence as a local thought leader.</w:t>
      </w:r>
    </w:p>
    <w:p>
      <w:pPr>
        <w:numPr>
          <w:ilvl w:val="0"/>
          <w:numId w:val="1003"/>
        </w:numPr>
        <w:pStyle w:val="Compact"/>
      </w:pPr>
      <w:r>
        <w:rPr>
          <w:bCs/>
          <w:b/>
        </w:rPr>
        <w:t xml:space="preserve">Strategic Partnerships:</w:t>
      </w:r>
      <w:r>
        <w:t xml:space="preserve"> </w:t>
      </w:r>
      <w:r>
        <w:t xml:space="preserve">Collaborating with key Malaysian stakeholders—such as MRT Corporation (for transit-linked developments), the Architects’ Registration Board of Malaysia, and interior design firms like KGD Interior. This builds credibility within KL’s professional ecosystem.</w:t>
      </w:r>
    </w:p>
    <w:p>
      <w:pPr>
        <w:numPr>
          <w:ilvl w:val="0"/>
          <w:numId w:val="1003"/>
        </w:numPr>
        <w:pStyle w:val="Compact"/>
      </w:pPr>
      <w:r>
        <w:rPr>
          <w:bCs/>
          <w:b/>
        </w:rPr>
        <w:t xml:space="preserve">Content Marketing:</w:t>
      </w:r>
      <w:r>
        <w:t xml:space="preserve"> </w:t>
      </w:r>
      <w:r>
        <w:t xml:space="preserve">Publishing case studies on projects like "The Serene Oasis Residence" in Damansara Heights, emphasizing cultural integration and sustainability metrics relevant to Kuala Lumpur’s climate.</w:t>
      </w:r>
    </w:p>
    <w:bookmarkEnd w:id="24"/>
    <w:bookmarkStart w:id="25" w:name="X7acb39d3bc4038e0f9301233d449863f255963a"/>
    <w:p>
      <w:pPr>
        <w:pStyle w:val="Heading2"/>
      </w:pPr>
      <w:r>
        <w:t xml:space="preserve">Budget Allocation &amp; KPIs: Measuring Success in Malaysia Kuala Lumpur</w:t>
      </w:r>
    </w:p>
    <w:p>
      <w:pPr>
        <w:pStyle w:val="FirstParagraph"/>
      </w:pPr>
      <w:r>
        <w:t xml:space="preserve">Our Marketing Plan dedicates RM 350,000 (approx. USD 75,600) for Year 1, with precise allocation:</w:t>
      </w:r>
    </w:p>
    <w:p>
      <w:pPr>
        <w:numPr>
          <w:ilvl w:val="0"/>
          <w:numId w:val="1004"/>
        </w:numPr>
        <w:pStyle w:val="Compact"/>
      </w:pPr>
      <w:r>
        <w:t xml:space="preserve">45% Digital Advertising (Google Ads + social media targeting KL neighborhoods)</w:t>
      </w:r>
    </w:p>
    <w:p>
      <w:pPr>
        <w:numPr>
          <w:ilvl w:val="0"/>
          <w:numId w:val="1004"/>
        </w:numPr>
        <w:pStyle w:val="Compact"/>
      </w:pPr>
      <w:r>
        <w:t xml:space="preserve">25% Events &amp; Partnerships (exhibitions at KLIA, MIPIM Asia events)</w:t>
      </w:r>
    </w:p>
    <w:p>
      <w:pPr>
        <w:numPr>
          <w:ilvl w:val="0"/>
          <w:numId w:val="1004"/>
        </w:numPr>
        <w:pStyle w:val="Compact"/>
      </w:pPr>
      <w:r>
        <w:t xml:space="preserve">20% Content Production (video tours of KL projects, localized blogs)</w:t>
      </w:r>
    </w:p>
    <w:p>
      <w:pPr>
        <w:numPr>
          <w:ilvl w:val="0"/>
          <w:numId w:val="1004"/>
        </w:numPr>
        <w:pStyle w:val="Compact"/>
      </w:pPr>
      <w:r>
        <w:t xml:space="preserve">10% Market Research (annual surveys tracking client preferences in Malaysia Kuala Lumpur)</w:t>
      </w:r>
    </w:p>
    <w:p>
      <w:pPr>
        <w:pStyle w:val="FirstParagraph"/>
      </w:pPr>
      <w:r>
        <w:t xml:space="preserve">KPIs are rigorously tied to KL’s market realities:</w:t>
      </w:r>
    </w:p>
    <w:p>
      <w:pPr>
        <w:numPr>
          <w:ilvl w:val="0"/>
          <w:numId w:val="1005"/>
        </w:numPr>
        <w:pStyle w:val="Compact"/>
      </w:pPr>
      <w:r>
        <w:t xml:space="preserve">Generate 120 qualified leads/month from Malaysia Kuala Lumpur (target: 35% conversion rate)</w:t>
      </w:r>
    </w:p>
    <w:p>
      <w:pPr>
        <w:numPr>
          <w:ilvl w:val="0"/>
          <w:numId w:val="1005"/>
        </w:numPr>
        <w:pStyle w:val="Compact"/>
      </w:pPr>
      <w:r>
        <w:t xml:space="preserve">Secure 8 premium projects in KL within Year 1, including at least one high-profile commercial development</w:t>
      </w:r>
    </w:p>
    <w:p>
      <w:pPr>
        <w:numPr>
          <w:ilvl w:val="0"/>
          <w:numId w:val="1005"/>
        </w:numPr>
        <w:pStyle w:val="Compact"/>
      </w:pPr>
      <w:r>
        <w:t xml:space="preserve">Achieve 4.7/5 average client rating on Google My Business (KL-focused reviews)</w:t>
      </w:r>
    </w:p>
    <w:bookmarkEnd w:id="25"/>
    <w:bookmarkStart w:id="26" w:name="X09b83352a42d762f15347417956ac3021dbb823"/>
    <w:p>
      <w:pPr>
        <w:pStyle w:val="Heading2"/>
      </w:pPr>
      <w:r>
        <w:t xml:space="preserve">Conclusion: Architectural Leadership in Malaysia Kuala Lumpur</w:t>
      </w:r>
    </w:p>
    <w:p>
      <w:pPr>
        <w:pStyle w:val="FirstParagraph"/>
      </w:pPr>
      <w:r>
        <w:t xml:space="preserve">This Marketing Plan positions our practice not merely as a service provider, but as the indispensable</w:t>
      </w:r>
      <w:r>
        <w:t xml:space="preserve"> </w:t>
      </w:r>
      <w:r>
        <w:rPr>
          <w:bCs/>
          <w:b/>
        </w:rPr>
        <w:t xml:space="preserve">Architect</w:t>
      </w:r>
      <w:r>
        <w:t xml:space="preserve"> </w:t>
      </w:r>
      <w:r>
        <w:t xml:space="preserve">partner for shaping Kuala Lumpur’s future. By embedding deep knowledge of Malaysia’s cultural fabric, regulatory environment, and climate challenges into every strategy—from digital outreach to on-the-ground project execution—we guarantee superior client outcomes and market leadership. In a city where architecture defines identity, our commitment to authentic Malaysian design elevates us above generic competitors. As KL continues its transformation as Southeast Asia’s urban hub, this Marketing Plan ensures our</w:t>
      </w:r>
      <w:r>
        <w:t xml:space="preserve"> </w:t>
      </w:r>
      <w:r>
        <w:rPr>
          <w:bCs/>
          <w:b/>
        </w:rPr>
        <w:t xml:space="preserve">Architect</w:t>
      </w:r>
      <w:r>
        <w:t xml:space="preserve"> </w:t>
      </w:r>
      <w:r>
        <w:t xml:space="preserve">brand becomes synonymous with excellence in Malaysia Kuala Lumpur, driving growth through culturally intelligent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Malaysia Kuala Lumpur</dc:title>
  <dc:creator/>
  <dc:language>en</dc:language>
  <cp:keywords/>
  <dcterms:created xsi:type="dcterms:W3CDTF">2026-07-21T07:54:28Z</dcterms:created>
  <dcterms:modified xsi:type="dcterms:W3CDTF">2026-07-21T07:54:28Z</dcterms:modified>
</cp:coreProperties>
</file>

<file path=docProps/custom.xml><?xml version="1.0" encoding="utf-8"?>
<Properties xmlns="http://schemas.openxmlformats.org/officeDocument/2006/custom-properties" xmlns:vt="http://schemas.openxmlformats.org/officeDocument/2006/docPropsVTypes"/>
</file>