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Netherlands</w:t>
      </w:r>
      <w:r>
        <w:t xml:space="preserve"> </w:t>
      </w:r>
      <w:r>
        <w:t xml:space="preserve">Amsterdam</w:t>
      </w:r>
    </w:p>
    <w:bookmarkStart w:id="32" w:name="Xc5f2e7b11392ed21a8d55766dff84c6af93cab4"/>
    <w:p>
      <w:pPr>
        <w:pStyle w:val="Heading1"/>
      </w:pPr>
      <w:r>
        <w:t xml:space="preserve">Comprehensive Marketing Plan for Architect Firm in Amsterdam, Netherlands</w:t>
      </w:r>
    </w:p>
    <w:bookmarkStart w:id="20" w:name="executive-summary"/>
    <w:p>
      <w:pPr>
        <w:pStyle w:val="Heading2"/>
      </w:pPr>
      <w:r>
        <w:t xml:space="preserve">Executive Summary</w:t>
      </w:r>
    </w:p>
    <w:p>
      <w:pPr>
        <w:pStyle w:val="FirstParagraph"/>
      </w:pPr>
      <w:r>
        <w:t xml:space="preserve">This marketing plan outlines a strategic approach for establishing a premier architectural practice in Amsterdam, the Netherlands. As the city navigates rapid urbanization while preserving its UNESCO-listed heritage and ambitious sustainability goals (including the 2030 Climate Agreement), this plan positions our</w:t>
      </w:r>
      <w:r>
        <w:t xml:space="preserve"> </w:t>
      </w:r>
      <w:r>
        <w:rPr>
          <w:iCs/>
          <w:i/>
        </w:rPr>
        <w:t xml:space="preserve">Architect</w:t>
      </w:r>
      <w:r>
        <w:t xml:space="preserve"> </w:t>
      </w:r>
      <w:r>
        <w:t xml:space="preserve">firm as an indispensable partner for innovative, context-sensitive design solutions. By leveraging Amsterdam’s unique urban fabric, cultural identity, and regulatory landscape, we will capture 15% of the high-end residential market within three years while becoming synonymous with forward-thinking architecture in the Netherlands.</w:t>
      </w:r>
    </w:p>
    <w:bookmarkEnd w:id="20"/>
    <w:bookmarkStart w:id="21" w:name="market-analysis-amsterdam-context"/>
    <w:p>
      <w:pPr>
        <w:pStyle w:val="Heading2"/>
      </w:pPr>
      <w:r>
        <w:t xml:space="preserve">Market Analysis: Amsterdam Context</w:t>
      </w:r>
    </w:p>
    <w:p>
      <w:pPr>
        <w:pStyle w:val="FirstParagraph"/>
      </w:pPr>
      <w:r>
        <w:t xml:space="preserve">Amsterdam presents a dynamic yet specialized architectural market. With over 1 million residents and 60,000 new housing units needed by 2035 (Amsterdam City Council), demand for creative spatial solutions is surging. However, the city’s strict preservation regulations (e.g., the Amsterdam Municipal Building Act) and carbon-neutral goals require</w:t>
      </w:r>
      <w:r>
        <w:t xml:space="preserve"> </w:t>
      </w:r>
      <w:r>
        <w:rPr>
          <w:iCs/>
          <w:i/>
        </w:rPr>
        <w:t xml:space="preserve">Architect</w:t>
      </w:r>
      <w:r>
        <w:t xml:space="preserve"> </w:t>
      </w:r>
      <w:r>
        <w:t xml:space="preserve">firms to balance innovation with heritage sensitivity. The Netherlands’ national focus on "Circular Construction" – targeting 50% recycled materials by 2030 – creates an urgent market for sustainable design expertise. Competitors often overlook the need for hyper-localized strategies, presenting a clear opportunity for our firm to dominate through deep Amsterdam knowledge.</w:t>
      </w:r>
    </w:p>
    <w:bookmarkEnd w:id="21"/>
    <w:bookmarkStart w:id="22" w:name="X9449ac86c5850128f587043e1a4be109bffaa5b"/>
    <w:p>
      <w:pPr>
        <w:pStyle w:val="Heading2"/>
      </w:pPr>
      <w:r>
        <w:t xml:space="preserve">SWOT Analysis: Netherlands Amsterdam Focus</w:t>
      </w:r>
    </w:p>
    <w:tbl>
      <w:tblPr>
        <w:tblStyle w:val="Table"/>
        <w:tblW w:type="pct" w:w="500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Deep expertise in Dutch building codes and heritage conservation</w:t>
            </w:r>
            <w:r>
              <w:br/>
            </w:r>
            <w:r>
              <w:t xml:space="preserve">• Proven experience with Amsterdam’s unique canal-side projects</w:t>
            </w:r>
            <w:r>
              <w:br/>
            </w:r>
            <w:r>
              <w:t xml:space="preserve">• Strong digital design capabilities (BIM, 3D visualization)</w:t>
            </w:r>
          </w:p>
        </w:tc>
      </w:tr>
      <w:tr>
        <w:tc>
          <w:tcPr/>
          <w:p>
            <w:pPr>
              <w:pStyle w:val="Compact"/>
              <w:jc w:val="left"/>
            </w:pPr>
            <w:r>
              <w:t xml:space="preserve">Weaknesses</w:t>
            </w:r>
          </w:p>
        </w:tc>
        <w:tc>
          <w:tcPr/>
          <w:p>
            <w:pPr>
              <w:pStyle w:val="Compact"/>
              <w:jc w:val="left"/>
            </w:pPr>
            <w:r>
              <w:t xml:space="preserve">• Limited local brand recognition in Netherlands market</w:t>
            </w:r>
            <w:r>
              <w:br/>
            </w:r>
            <w:r>
              <w:t xml:space="preserve">• Smaller team compared to international firms operating in Amsterdam</w:t>
            </w:r>
          </w:p>
        </w:tc>
      </w:tr>
      <w:tr>
        <w:tc>
          <w:tcPr/>
          <w:p>
            <w:pPr>
              <w:pStyle w:val="Compact"/>
              <w:jc w:val="left"/>
            </w:pPr>
            <w:r>
              <w:t xml:space="preserve">Opportunities</w:t>
            </w:r>
          </w:p>
        </w:tc>
        <w:tc>
          <w:tcPr/>
          <w:p>
            <w:pPr>
              <w:pStyle w:val="Compact"/>
              <w:jc w:val="left"/>
            </w:pPr>
            <w:r>
              <w:t xml:space="preserve">• Amsterdam’s 2035 Housing Strategy (40% social housing)</w:t>
            </w:r>
            <w:r>
              <w:br/>
            </w:r>
            <w:r>
              <w:t xml:space="preserve">• EU Green Deal funding for sustainable architecture</w:t>
            </w:r>
            <w:r>
              <w:br/>
            </w:r>
            <w:r>
              <w:t xml:space="preserve">• Rising demand for adaptive reuse of historic structures</w:t>
            </w:r>
          </w:p>
        </w:tc>
      </w:tr>
      <w:tr>
        <w:tc>
          <w:tcPr/>
          <w:p>
            <w:pPr>
              <w:pStyle w:val="Compact"/>
              <w:jc w:val="left"/>
            </w:pPr>
            <w:r>
              <w:t xml:space="preserve">Threats</w:t>
            </w:r>
          </w:p>
        </w:tc>
        <w:tc>
          <w:tcPr/>
          <w:p>
            <w:pPr>
              <w:pStyle w:val="Compact"/>
              <w:jc w:val="left"/>
            </w:pPr>
            <w:r>
              <w:t xml:space="preserve">• Intense competition from Berlin-based firms entering Dutch market</w:t>
            </w:r>
            <w:r>
              <w:br/>
            </w:r>
            <w:r>
              <w:t xml:space="preserve">• Economic fluctuations affecting high-end residential projects</w:t>
            </w:r>
            <w:r>
              <w:br/>
            </w:r>
            <w:r>
              <w:t xml:space="preserve">• Stricter sustainability regulations increasing project costs</w:t>
            </w:r>
          </w:p>
        </w:tc>
      </w:tr>
    </w:tbl>
    <w:bookmarkEnd w:id="22"/>
    <w:bookmarkStart w:id="23" w:name="marketing-objectives-3-year-horizon"/>
    <w:p>
      <w:pPr>
        <w:pStyle w:val="Heading2"/>
      </w:pPr>
      <w:r>
        <w:t xml:space="preserve">Marketing Objectives (3-Year Horizon)</w:t>
      </w:r>
    </w:p>
    <w:p>
      <w:pPr>
        <w:numPr>
          <w:ilvl w:val="0"/>
          <w:numId w:val="1001"/>
        </w:numPr>
        <w:pStyle w:val="Compact"/>
      </w:pPr>
      <w:r>
        <w:rPr>
          <w:bCs/>
          <w:b/>
        </w:rPr>
        <w:t xml:space="preserve">Brand Positioning:</w:t>
      </w:r>
      <w:r>
        <w:t xml:space="preserve"> </w:t>
      </w:r>
      <w:r>
        <w:t xml:space="preserve">Become "Amsterdam’s Most Trusted Sustainable Architect" within the Netherlands market by 2026.</w:t>
      </w:r>
    </w:p>
    <w:p>
      <w:pPr>
        <w:numPr>
          <w:ilvl w:val="0"/>
          <w:numId w:val="1001"/>
        </w:numPr>
        <w:pStyle w:val="Compact"/>
      </w:pPr>
      <w:r>
        <w:rPr>
          <w:bCs/>
          <w:b/>
        </w:rPr>
        <w:t xml:space="preserve">Lead Generation:</w:t>
      </w:r>
      <w:r>
        <w:t xml:space="preserve"> </w:t>
      </w:r>
      <w:r>
        <w:t xml:space="preserve">Secure 40+ qualified project leads annually through hyper-targeted Amsterdam marketing channels.</w:t>
      </w:r>
    </w:p>
    <w:p>
      <w:pPr>
        <w:numPr>
          <w:ilvl w:val="0"/>
          <w:numId w:val="1001"/>
        </w:numPr>
        <w:pStyle w:val="Compact"/>
      </w:pPr>
      <w:r>
        <w:rPr>
          <w:bCs/>
          <w:b/>
        </w:rPr>
        <w:t xml:space="preserve">Market Share:</w:t>
      </w:r>
      <w:r>
        <w:t xml:space="preserve"> </w:t>
      </w:r>
      <w:r>
        <w:t xml:space="preserve">Achieve 15% penetration in premium residential architecture (€1M+ projects) across Amsterdam districts.</w:t>
      </w:r>
    </w:p>
    <w:p>
      <w:pPr>
        <w:numPr>
          <w:ilvl w:val="0"/>
          <w:numId w:val="1001"/>
        </w:numPr>
        <w:pStyle w:val="Compact"/>
      </w:pPr>
      <w:r>
        <w:rPr>
          <w:bCs/>
          <w:b/>
        </w:rPr>
        <w:t xml:space="preserve">Cultural Integration:</w:t>
      </w:r>
      <w:r>
        <w:t xml:space="preserve"> </w:t>
      </w:r>
      <w:r>
        <w:t xml:space="preserve">Establish 20+ partnerships with local stakeholders (Amsterdam City Council, Viva, OZB)</w:t>
      </w:r>
    </w:p>
    <w:bookmarkEnd w:id="23"/>
    <w:bookmarkStart w:id="24" w:name="target-audience-segmentation"/>
    <w:p>
      <w:pPr>
        <w:pStyle w:val="Heading2"/>
      </w:pPr>
      <w:r>
        <w:t xml:space="preserve">Target Audience Segmentation</w:t>
      </w:r>
    </w:p>
    <w:p>
      <w:pPr>
        <w:pStyle w:val="FirstParagraph"/>
      </w:pPr>
      <w:r>
        <w:t xml:space="preserve">Our strategy focuses on three high-value segments within Amsterdam:</w:t>
      </w:r>
    </w:p>
    <w:p>
      <w:pPr>
        <w:numPr>
          <w:ilvl w:val="0"/>
          <w:numId w:val="1002"/>
        </w:numPr>
        <w:pStyle w:val="Compact"/>
      </w:pPr>
      <w:r>
        <w:rPr>
          <w:bCs/>
          <w:b/>
        </w:rPr>
        <w:t xml:space="preserve">High-Net-Worth Individuals (HNWIs):</w:t>
      </w:r>
      <w:r>
        <w:t xml:space="preserve"> </w:t>
      </w:r>
      <w:r>
        <w:t xml:space="preserve">Owners of canal houses or private estates seeking bespoke renovations. They prioritize heritage compliance and privacy. *Example: A 10% market share among Amsterdam’s 3,200+ canal house owners.</w:t>
      </w:r>
    </w:p>
    <w:p>
      <w:pPr>
        <w:numPr>
          <w:ilvl w:val="0"/>
          <w:numId w:val="1002"/>
        </w:numPr>
        <w:pStyle w:val="Compact"/>
      </w:pPr>
      <w:r>
        <w:rPr>
          <w:bCs/>
          <w:b/>
        </w:rPr>
        <w:t xml:space="preserve">Sustainable Developers:</w:t>
      </w:r>
      <w:r>
        <w:t xml:space="preserve"> </w:t>
      </w:r>
      <w:r>
        <w:t xml:space="preserve">Firms building for Amsterdam’s housing goals (e.g., MVRDV, Wijdemeren Developments). They demand certified sustainable designs. *Example: Targeting 30% of new projects in the 2025–2027 pipeline.</w:t>
      </w:r>
    </w:p>
    <w:p>
      <w:pPr>
        <w:numPr>
          <w:ilvl w:val="0"/>
          <w:numId w:val="1002"/>
        </w:numPr>
        <w:pStyle w:val="Compact"/>
      </w:pPr>
      <w:r>
        <w:rPr>
          <w:bCs/>
          <w:b/>
        </w:rPr>
        <w:t xml:space="preserve">City Council &amp; Municipal Projects:</w:t>
      </w:r>
      <w:r>
        <w:t xml:space="preserve"> </w:t>
      </w:r>
      <w:r>
        <w:t xml:space="preserve">Amsterdam’s municipal departments requiring public-space architecture aligned with Climate Agreement. *Example: Winning 1–2 public tenders annually for parks or community centers.</w:t>
      </w:r>
    </w:p>
    <w:bookmarkEnd w:id="24"/>
    <w:bookmarkStart w:id="28" w:name="marketing-strategies-tactics"/>
    <w:p>
      <w:pPr>
        <w:pStyle w:val="Heading2"/>
      </w:pPr>
      <w:r>
        <w:t xml:space="preserve">Marketing Strategies &amp; Tactics</w:t>
      </w:r>
    </w:p>
    <w:bookmarkStart w:id="25" w:name="digital-presence-amsterdam-centric"/>
    <w:p>
      <w:pPr>
        <w:pStyle w:val="Heading3"/>
      </w:pPr>
      <w:r>
        <w:t xml:space="preserve">Digital Presence (Amsterdam-Centric)</w:t>
      </w:r>
    </w:p>
    <w:p>
      <w:pPr>
        <w:pStyle w:val="FirstParagraph"/>
      </w:pPr>
      <w:r>
        <w:t xml:space="preserve">We will deploy a geo-targeted digital strategy emphasizing Amsterdam’s unique context:</w:t>
      </w:r>
    </w:p>
    <w:p>
      <w:pPr>
        <w:numPr>
          <w:ilvl w:val="0"/>
          <w:numId w:val="1003"/>
        </w:numPr>
        <w:pStyle w:val="Compact"/>
      </w:pPr>
      <w:r>
        <w:rPr>
          <w:iCs/>
          <w:i/>
        </w:rPr>
        <w:t xml:space="preserve">SEO Optimization:</w:t>
      </w:r>
      <w:r>
        <w:t xml:space="preserve"> </w:t>
      </w:r>
      <w:r>
        <w:t xml:space="preserve">Content targeting "sustainable architect Amsterdam," "heritage renovation Netherlands," and "circular building practices" to capture local search intent.</w:t>
      </w:r>
    </w:p>
    <w:p>
      <w:pPr>
        <w:numPr>
          <w:ilvl w:val="0"/>
          <w:numId w:val="1003"/>
        </w:numPr>
        <w:pStyle w:val="Compact"/>
      </w:pPr>
      <w:r>
        <w:rPr>
          <w:iCs/>
          <w:i/>
        </w:rPr>
        <w:t xml:space="preserve">Local Social Media Campaigns:</w:t>
      </w:r>
      <w:r>
        <w:t xml:space="preserve"> </w:t>
      </w:r>
      <w:r>
        <w:t xml:space="preserve">Instagram/TikTok tours of completed projects (e.g., "</w:t>
      </w:r>
      <w:hyperlink w:anchor="Xa39a3ee5e6b4b0d3255bfef95601890afd80709">
        <w:r>
          <w:rPr>
            <w:rStyle w:val="Hyperlink"/>
          </w:rPr>
          <w:t xml:space="preserve">Reclaiming a 17th-Century Warehouse in Jordaan</w:t>
        </w:r>
      </w:hyperlink>
      <w:r>
        <w:t xml:space="preserve">"), featuring Dutch language captions for authenticity.</w:t>
      </w:r>
    </w:p>
    <w:p>
      <w:pPr>
        <w:numPr>
          <w:ilvl w:val="0"/>
          <w:numId w:val="1003"/>
        </w:numPr>
        <w:pStyle w:val="Compact"/>
      </w:pPr>
      <w:r>
        <w:rPr>
          <w:iCs/>
          <w:i/>
        </w:rPr>
        <w:t xml:space="preserve">Digital Partnerships:</w:t>
      </w:r>
      <w:r>
        <w:t xml:space="preserve"> </w:t>
      </w:r>
      <w:r>
        <w:t xml:space="preserve">Co-hosting webinars with Amsterdam-based sustainability NGOs like "Stadsbouw" on climate-resilient architecture.</w:t>
      </w:r>
    </w:p>
    <w:bookmarkEnd w:id="25"/>
    <w:bookmarkStart w:id="26" w:name="hyper-local-engagement"/>
    <w:p>
      <w:pPr>
        <w:pStyle w:val="Heading3"/>
      </w:pPr>
      <w:r>
        <w:t xml:space="preserve">Hyper-Local Engagement</w:t>
      </w:r>
    </w:p>
    <w:p>
      <w:pPr>
        <w:pStyle w:val="FirstParagraph"/>
      </w:pPr>
      <w:r>
        <w:t xml:space="preserve">Building trust through Amsterdam-specific initiatives:</w:t>
      </w:r>
    </w:p>
    <w:p>
      <w:pPr>
        <w:numPr>
          <w:ilvl w:val="0"/>
          <w:numId w:val="1004"/>
        </w:numPr>
        <w:pStyle w:val="Compact"/>
      </w:pPr>
      <w:r>
        <w:rPr>
          <w:iCs/>
          <w:i/>
        </w:rPr>
        <w:t xml:space="preserve">Amsterdam Design Forums:</w:t>
      </w:r>
      <w:r>
        <w:t xml:space="preserve"> </w:t>
      </w:r>
      <w:r>
        <w:t xml:space="preserve">Sponsoring "Architecture in the City" events at the NDSM Wharf, featuring case studies on adapting to Amsterdam’s water management challenges.</w:t>
      </w:r>
    </w:p>
    <w:p>
      <w:pPr>
        <w:numPr>
          <w:ilvl w:val="0"/>
          <w:numId w:val="1004"/>
        </w:numPr>
        <w:pStyle w:val="Compact"/>
      </w:pPr>
      <w:r>
        <w:rPr>
          <w:iCs/>
          <w:i/>
        </w:rPr>
        <w:t xml:space="preserve">Netherlands Cultural Immersion:</w:t>
      </w:r>
      <w:r>
        <w:t xml:space="preserve"> </w:t>
      </w:r>
      <w:r>
        <w:t xml:space="preserve">Free workshops for Amsterdam residents on "Designing with Dutch Tradition," emphasizing how our</w:t>
      </w:r>
      <w:r>
        <w:t xml:space="preserve"> </w:t>
      </w:r>
      <w:r>
        <w:rPr>
          <w:iCs/>
          <w:i/>
        </w:rPr>
        <w:t xml:space="preserve">Architect</w:t>
      </w:r>
      <w:r>
        <w:t xml:space="preserve"> </w:t>
      </w:r>
      <w:r>
        <w:t xml:space="preserve">approach respects local materials (e.g., bricks from Delft, wooden facade techniques).</w:t>
      </w:r>
    </w:p>
    <w:p>
      <w:pPr>
        <w:numPr>
          <w:ilvl w:val="0"/>
          <w:numId w:val="1004"/>
        </w:numPr>
        <w:pStyle w:val="Compact"/>
      </w:pPr>
      <w:r>
        <w:rPr>
          <w:iCs/>
          <w:i/>
        </w:rPr>
        <w:t xml:space="preserve">Municipal Collaborations:</w:t>
      </w:r>
      <w:r>
        <w:t xml:space="preserve"> </w:t>
      </w:r>
      <w:r>
        <w:t xml:space="preserve">Partnering with Amsterdam’s Sustainable Building Task Force to co-design guidelines for historic district renovations.</w:t>
      </w:r>
    </w:p>
    <w:bookmarkEnd w:id="26"/>
    <w:bookmarkStart w:id="27" w:name="Xc22a4b312c3d1ab97f626e6c9dd81f244515f7f"/>
    <w:p>
      <w:pPr>
        <w:pStyle w:val="Heading3"/>
      </w:pPr>
      <w:r>
        <w:t xml:space="preserve">Content Marketing: Leveraging Dutch Context</w:t>
      </w:r>
    </w:p>
    <w:p>
      <w:pPr>
        <w:pStyle w:val="FirstParagraph"/>
      </w:pPr>
      <w:r>
        <w:t xml:space="preserve">All content will explicitly reference Netherlands and Amsterdam:</w:t>
      </w:r>
    </w:p>
    <w:p>
      <w:pPr>
        <w:numPr>
          <w:ilvl w:val="0"/>
          <w:numId w:val="1005"/>
        </w:numPr>
        <w:pStyle w:val="Compact"/>
      </w:pPr>
      <w:r>
        <w:rPr>
          <w:iCs/>
          <w:i/>
        </w:rPr>
        <w:t xml:space="preserve">Casestudies:</w:t>
      </w:r>
      <w:r>
        <w:t xml:space="preserve"> </w:t>
      </w:r>
      <w:r>
        <w:t xml:space="preserve">"The Oosterpark Project: 20% Carbon Reduction in a Vondelpark-Adjacent Building (Amsterdam, 2024)"</w:t>
      </w:r>
    </w:p>
    <w:p>
      <w:pPr>
        <w:numPr>
          <w:ilvl w:val="0"/>
          <w:numId w:val="1005"/>
        </w:numPr>
        <w:pStyle w:val="Compact"/>
      </w:pPr>
      <w:r>
        <w:rPr>
          <w:iCs/>
          <w:i/>
        </w:rPr>
        <w:t xml:space="preserve">Whitepapers:</w:t>
      </w:r>
      <w:r>
        <w:t xml:space="preserve"> </w:t>
      </w:r>
      <w:r>
        <w:t xml:space="preserve">"Navigating Amsterdam’s Preservation Codes: A Guide for International Clients (Netherlands Focus)"</w:t>
      </w:r>
    </w:p>
    <w:p>
      <w:pPr>
        <w:numPr>
          <w:ilvl w:val="0"/>
          <w:numId w:val="1005"/>
        </w:numPr>
        <w:pStyle w:val="Compact"/>
      </w:pPr>
      <w:r>
        <w:rPr>
          <w:iCs/>
          <w:i/>
        </w:rPr>
        <w:t xml:space="preserve">Video Content:</w:t>
      </w:r>
      <w:r>
        <w:t xml:space="preserve"> </w:t>
      </w:r>
      <w:r>
        <w:t xml:space="preserve">Short documentaries featuring Dutch clients discussing challenges like "Working with the Canal Zone Authority" – highlighting our local expertise.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35%</w:t>
      </w:r>
    </w:p>
    <w:p>
      <w:pPr>
        <w:pStyle w:val="BodyText"/>
      </w:pPr>
      <w:r>
        <w:t xml:space="preserve">Hyper-local lead generation for Amsterdam market</w:t>
      </w:r>
    </w:p>
    <w:p>
      <w:pPr>
        <w:pStyle w:val="BodyText"/>
      </w:pPr>
      <w:r>
        <w:t xml:space="preserve">Local Events &amp; Partnerships</w:t>
      </w:r>
    </w:p>
    <w:p>
      <w:pPr>
        <w:pStyle w:val="BodyText"/>
      </w:pPr>
      <w:r>
        <w:t xml:space="preserve">25%</w:t>
      </w:r>
    </w:p>
    <w:p>
      <w:pPr>
        <w:pStyle w:val="BodyText"/>
      </w:pPr>
      <w:r>
        <w:t xml:space="preserve">Sponsorships at Amsterdam architecture hubs (e.g., De Ceuvel)</w:t>
      </w:r>
    </w:p>
    <w:p>
      <w:pPr>
        <w:pStyle w:val="BodyText"/>
      </w:pPr>
      <w:r>
        <w:t xml:space="preserve">Content Production</w:t>
      </w:r>
    </w:p>
    <w:p>
      <w:pPr>
        <w:pStyle w:val="BodyText"/>
      </w:pPr>
      <w:r>
        <w:t xml:space="preserve">20%Casestudies targeting Netherlands-specific regulations</w:t>
      </w:r>
    </w:p>
    <w:p>
      <w:pPr>
        <w:pStyle w:val="BodyText"/>
      </w:pPr>
      <w:r>
        <w:t xml:space="preserve">Municipal Outreach</w:t>
      </w:r>
    </w:p>
    <w:p>
      <w:pPr>
        <w:pStyle w:val="BodyText"/>
      </w:pPr>
      <w:r>
        <w:t xml:space="preserve">15%</w:t>
      </w:r>
    </w:p>
    <w:p>
      <w:pPr>
        <w:pStyle w:val="BodyText"/>
      </w:pPr>
      <w:r>
        <w:t xml:space="preserve">Building council relationships in Amsterdam</w:t>
      </w:r>
    </w:p>
    <w:p>
      <w:pPr>
        <w:pStyle w:val="BodyText"/>
      </w:pPr>
      <w:r>
        <w:t xml:space="preserve">Contingency</w:t>
      </w:r>
    </w:p>
    <w:p>
      <w:pPr>
        <w:pStyle w:val="BodyText"/>
      </w:pPr>
      <w:r>
        <w:t xml:space="preserve">5%</w:t>
      </w:r>
    </w:p>
    <w:p>
      <w:pPr>
        <w:pStyle w:val="BodyText"/>
      </w:pPr>
      <w:r>
        <w:t xml:space="preserve">Risk mitigation for market fluctuations</w:t>
      </w:r>
    </w:p>
    <w:bookmarkEnd w:id="29"/>
    <w:bookmarkStart w:id="30" w:name="kpis-for-amsterdam-market-success"/>
    <w:p>
      <w:pPr>
        <w:pStyle w:val="Heading2"/>
      </w:pPr>
      <w:r>
        <w:t xml:space="preserve">KPIs for Amsterdam Market Success</w:t>
      </w:r>
    </w:p>
    <w:p>
      <w:pPr>
        <w:numPr>
          <w:ilvl w:val="0"/>
          <w:numId w:val="1006"/>
        </w:numPr>
        <w:pStyle w:val="Compact"/>
      </w:pPr>
      <w:r>
        <w:t xml:space="preserve">Website traffic from Netherlands: 70%+ from Amsterdam/region (up from 30% in Year 0)</w:t>
      </w:r>
    </w:p>
    <w:p>
      <w:pPr>
        <w:numPr>
          <w:ilvl w:val="0"/>
          <w:numId w:val="1006"/>
        </w:numPr>
        <w:pStyle w:val="Compact"/>
      </w:pPr>
      <w:r>
        <w:t xml:space="preserve">Lead conversion rate: 15% for Amsterdam-specific leads (vs. industry avg. of 8%)</w:t>
      </w:r>
    </w:p>
    <w:p>
      <w:pPr>
        <w:numPr>
          <w:ilvl w:val="0"/>
          <w:numId w:val="1006"/>
        </w:numPr>
        <w:pStyle w:val="Compact"/>
      </w:pPr>
      <w:r>
        <w:t xml:space="preserve">Social engagement rate on Amsterdam-focused content: Target 25%+ (above Dutch market avg. of 17%)</w:t>
      </w:r>
    </w:p>
    <w:p>
      <w:pPr>
        <w:numPr>
          <w:ilvl w:val="0"/>
          <w:numId w:val="1006"/>
        </w:numPr>
        <w:pStyle w:val="Compact"/>
      </w:pPr>
      <w:r>
        <w:t xml:space="preserve">Municipal project wins: Minimum 2 by Year 3</w:t>
      </w:r>
    </w:p>
    <w:bookmarkEnd w:id="30"/>
    <w:bookmarkStart w:id="31" w:name="Xf2fc5b7822858286067ede2a9fc267951842796"/>
    <w:p>
      <w:pPr>
        <w:pStyle w:val="Heading2"/>
      </w:pPr>
      <w:r>
        <w:t xml:space="preserve">Conclusion: Architect as Amsterdam’s Urban Catalyst</w:t>
      </w:r>
    </w:p>
    <w:p>
      <w:pPr>
        <w:pStyle w:val="FirstParagraph"/>
      </w:pPr>
      <w:r>
        <w:t xml:space="preserve">This Marketing Plan positions our firm not merely as an</w:t>
      </w:r>
      <w:r>
        <w:t xml:space="preserve"> </w:t>
      </w:r>
      <w:r>
        <w:rPr>
          <w:iCs/>
          <w:i/>
        </w:rPr>
        <w:t xml:space="preserve">Architect</w:t>
      </w:r>
      <w:r>
        <w:t xml:space="preserve">, but as a critical partner in Amsterdam’s future. By embedding ourselves within the city’s sustainability mission, heritage ethos, and regulatory framework – all unique to the Netherlands – we transcend typical market competition. Every campaign will reinforce "Amsterdam First" principles: understanding canals over concepts, Dutch materials over imported ones, and community impact over individual projects. As Amsterdam evolves toward its 2030 climate goals, our commitment to locally rooted innovation ensures we are not just meeting market demands but defining the next era of architecture in the Netherlands. This is how a global</w:t>
      </w:r>
      <w:r>
        <w:t xml:space="preserve"> </w:t>
      </w:r>
      <w:r>
        <w:rPr>
          <w:iCs/>
          <w:i/>
        </w:rPr>
        <w:t xml:space="preserve">Architect</w:t>
      </w:r>
      <w:r>
        <w:t xml:space="preserve"> </w:t>
      </w:r>
      <w:r>
        <w:t xml:space="preserve">firm becomes synonymous with Amsterdam’s identity.</w:t>
      </w:r>
    </w:p>
    <w:p>
      <w:pPr>
        <w:pStyle w:val="BodyText"/>
      </w:pPr>
      <w:r>
        <w:rPr>
          <w:bCs/>
          <w:b/>
        </w:rPr>
        <w:t xml:space="preserve">Total Word Count: 865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Netherlands Amsterdam</dc:title>
  <dc:creator/>
  <dc:language>en</dc:language>
  <cp:keywords/>
  <dcterms:created xsi:type="dcterms:W3CDTF">2025-12-13T19:40:07Z</dcterms:created>
  <dcterms:modified xsi:type="dcterms:W3CDTF">2025-12-13T19:40:07Z</dcterms:modified>
</cp:coreProperties>
</file>

<file path=docProps/custom.xml><?xml version="1.0" encoding="utf-8"?>
<Properties xmlns="http://schemas.openxmlformats.org/officeDocument/2006/custom-properties" xmlns:vt="http://schemas.openxmlformats.org/officeDocument/2006/docPropsVTypes"/>
</file>