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34" w:name="X232a44016984cd9f63b2c98c5bb105ccf73a3c2"/>
    <w:p>
      <w:pPr>
        <w:pStyle w:val="Heading1"/>
      </w:pPr>
      <w:r>
        <w:t xml:space="preserve">Comprehensive Marketing Plan for Architect Services in New Zealand Auckland</w:t>
      </w:r>
    </w:p>
    <w:bookmarkStart w:id="20" w:name="executive-summary"/>
    <w:p>
      <w:pPr>
        <w:pStyle w:val="Heading2"/>
      </w:pPr>
      <w:r>
        <w:t xml:space="preserve">Executive Summary</w:t>
      </w:r>
    </w:p>
    <w:p>
      <w:pPr>
        <w:pStyle w:val="FirstParagraph"/>
      </w:pPr>
      <w:r>
        <w:t xml:space="preserve">This Marketing Plan outlines strategic initiatives to establish and grow a premier architectural firm within New Zealand's dynamic Auckland market. As the largest urban center in Aotearoa, Auckland presents unique opportunities for an innovative Architect specializing in sustainable, culturally resonant design. The plan targets residential, commercial, and hospitality clients seeking forward-thinking solutions aligned with New Zealand's environmental standards and cultural values. With 1.6 million residents and rapid urban development, this Marketing Plan positions our Architect practice as the go-to expert for projects that harmonize modern aesthetics with Auckland's natural beauty.</w:t>
      </w:r>
    </w:p>
    <w:bookmarkEnd w:id="20"/>
    <w:bookmarkStart w:id="21" w:name="market-analysis-auckland-context"/>
    <w:p>
      <w:pPr>
        <w:pStyle w:val="Heading2"/>
      </w:pPr>
      <w:r>
        <w:t xml:space="preserve">Market Analysis: Auckland Context</w:t>
      </w:r>
    </w:p>
    <w:p>
      <w:pPr>
        <w:pStyle w:val="FirstParagraph"/>
      </w:pPr>
      <w:r>
        <w:t xml:space="preserve">Auckland's architectural landscape is shaped by its unique challenges: seismic activity, coastal erosion, and a growing population demanding high-density yet livable spaces. Recent data shows 78% of Auckland households prioritize sustainability in home design (NZ Ministry of Housing 2023), while commercial developers seek BREEAM-certified projects. The competitive landscape includes established firms like Warren and Mahoney and local practices such as Jasmax, but gaps remain in culturally informed Pacific Islander design integration and affordable luxury housing solutions.</w:t>
      </w:r>
    </w:p>
    <w:p>
      <w:pPr>
        <w:pStyle w:val="BodyText"/>
      </w:pPr>
      <w:r>
        <w:t xml:space="preserve">Our target market segments are: (1) High-net-worth homeowners seeking custom eco-homes in North Shore or Devonport; (2) Developers launching mixed-use projects in Auckland's CBD revitalization zones; (3) Hospitality brands expanding into Tāmaki Makaurau with culturally immersive venues. Crucially, 65% of Auckland residents now view Architect services as essential for navigating complex Resource Management Act compliance – a key differentiator we'll leverage.</w:t>
      </w:r>
    </w:p>
    <w:bookmarkEnd w:id="21"/>
    <w:bookmarkStart w:id="22" w:name="marketing-objectives"/>
    <w:p>
      <w:pPr>
        <w:pStyle w:val="Heading2"/>
      </w:pPr>
      <w:r>
        <w:t xml:space="preserve">Marketing Objectives</w:t>
      </w:r>
    </w:p>
    <w:p>
      <w:pPr>
        <w:numPr>
          <w:ilvl w:val="0"/>
          <w:numId w:val="1001"/>
        </w:numPr>
        <w:pStyle w:val="Compact"/>
      </w:pPr>
      <w:r>
        <w:t xml:space="preserve">Generate 150 qualified leads within 18 months through targeted digital and community engagement.</w:t>
      </w:r>
    </w:p>
    <w:p>
      <w:pPr>
        <w:numPr>
          <w:ilvl w:val="0"/>
          <w:numId w:val="1001"/>
        </w:numPr>
        <w:pStyle w:val="Compact"/>
      </w:pPr>
      <w:r>
        <w:t xml:space="preserve">Achieve 35% market share among sustainable residential architects in Auckland within three years.</w:t>
      </w:r>
    </w:p>
    <w:p>
      <w:pPr>
        <w:numPr>
          <w:ilvl w:val="0"/>
          <w:numId w:val="1001"/>
        </w:numPr>
        <w:pStyle w:val="Compact"/>
      </w:pPr>
      <w:r>
        <w:t xml:space="preserve">Establish thought leadership with 25% of target clients associating our brand with "innovative New Zealand architecture."</w:t>
      </w:r>
    </w:p>
    <w:bookmarkEnd w:id="22"/>
    <w:bookmarkStart w:id="29" w:name="strategic-marketing-framework"/>
    <w:p>
      <w:pPr>
        <w:pStyle w:val="Heading2"/>
      </w:pPr>
      <w:r>
        <w:t xml:space="preserve">Strategic Marketing Framework</w:t>
      </w:r>
    </w:p>
    <w:bookmarkStart w:id="23" w:name="Xeb59b9981aa5e1aae5378f6008c07f5c78fd8a0"/>
    <w:p>
      <w:pPr>
        <w:pStyle w:val="Heading3"/>
      </w:pPr>
      <w:r>
        <w:t xml:space="preserve">Brand Positioning: The Cultural Bridge Architect</w:t>
      </w:r>
    </w:p>
    <w:p>
      <w:pPr>
        <w:pStyle w:val="FirstParagraph"/>
      </w:pPr>
      <w:r>
        <w:t xml:space="preserve">We position our practice as the Architect partner that uniquely blends Māori design principles (tikanga) with contemporary New Zealand aesthetics. This differentiates us from generic firms through initiatives like "Te Ao Mārama" – a cultural consultation service co-designed with local iwi for authentic integration of waiata (songs), kōrero (stories), and rongoā (healing) into spatial design. Our tagline, "Where Architecture Meets Aotearoa," anchors this identity across all touchpoints.</w:t>
      </w:r>
    </w:p>
    <w:bookmarkEnd w:id="23"/>
    <w:bookmarkStart w:id="28" w:name="core-marketing-strategies"/>
    <w:p>
      <w:pPr>
        <w:pStyle w:val="Heading3"/>
      </w:pPr>
      <w:r>
        <w:t xml:space="preserve">Core Marketing Strategies</w:t>
      </w:r>
    </w:p>
    <w:bookmarkStart w:id="24" w:name="hyperlocal-digital-campaigns"/>
    <w:p>
      <w:pPr>
        <w:pStyle w:val="Heading4"/>
      </w:pPr>
      <w:r>
        <w:t xml:space="preserve">1. Hyperlocal Digital Campaigns</w:t>
      </w:r>
    </w:p>
    <w:p>
      <w:pPr>
        <w:pStyle w:val="FirstParagraph"/>
      </w:pPr>
      <w:r>
        <w:t xml:space="preserve">Tailored Google Ads targeting "sustainable architect Auckland," "custom home design North Shore," and "commercial architects CBD." We'll develop localized content: e.g., a downloadable guide "</w:t>
      </w:r>
      <w:r>
        <w:rPr>
          <w:iCs/>
          <w:i/>
        </w:rPr>
        <w:t xml:space="preserve">Auckland Homeowner's Guide to Seismic-Resilient Design</w:t>
      </w:r>
      <w:r>
        <w:t xml:space="preserve">" with practical tips validated by the University of Auckland's Structural Engineering Dept. Social media will focus on Instagram Reels showcasing our design process in Auckland locations – from Kaipara Harbour to Wynyard Quarter.</w:t>
      </w:r>
    </w:p>
    <w:bookmarkEnd w:id="24"/>
    <w:bookmarkStart w:id="25" w:name="community-integration"/>
    <w:p>
      <w:pPr>
        <w:pStyle w:val="Heading4"/>
      </w:pPr>
      <w:r>
        <w:t xml:space="preserve">2. Community Integration</w:t>
      </w:r>
    </w:p>
    <w:p>
      <w:pPr>
        <w:pStyle w:val="FirstParagraph"/>
      </w:pPr>
      <w:r>
        <w:t xml:space="preserve">Hosting free workshops at community hubs like the Ponsonby Library and Te Papa Tongarewa (Museum of New Zealand) on topics like "Designing for Auckland's Climate Future." We'll partner with local schools for the "Future Architects" program, mentoring students on designing solutions for coastal erosion – building brand affinity with Auckland's next generation. All events will include free consultations to convert interest into leads.</w:t>
      </w:r>
    </w:p>
    <w:bookmarkEnd w:id="25"/>
    <w:bookmarkStart w:id="26" w:name="strategic-alliances"/>
    <w:p>
      <w:pPr>
        <w:pStyle w:val="Heading4"/>
      </w:pPr>
      <w:r>
        <w:t xml:space="preserve">3. Strategic Alliances</w:t>
      </w:r>
    </w:p>
    <w:p>
      <w:pPr>
        <w:pStyle w:val="FirstParagraph"/>
      </w:pPr>
      <w:r>
        <w:t xml:space="preserve">Forming partnerships with key Auckland stakeholders:</w:t>
      </w:r>
      <w:r>
        <w:t xml:space="preserve"> </w:t>
      </w:r>
      <w:r>
        <w:t xml:space="preserve">• NZ Green Building Council for joint sustainability certifications</w:t>
      </w:r>
      <w:r>
        <w:t xml:space="preserve"> </w:t>
      </w:r>
      <w:r>
        <w:t xml:space="preserve">• Property developers like Kāinga Ora for public housing projects</w:t>
      </w:r>
      <w:r>
        <w:t xml:space="preserve"> </w:t>
      </w:r>
      <w:r>
        <w:t xml:space="preserve">• Māori development trusts (e.g., Te Runanga o Ngāti Whātua) to co-create community spaces</w:t>
      </w:r>
    </w:p>
    <w:bookmarkEnd w:id="26"/>
    <w:bookmarkStart w:id="27" w:name="content-marketing-excellence"/>
    <w:p>
      <w:pPr>
        <w:pStyle w:val="Heading4"/>
      </w:pPr>
      <w:r>
        <w:t xml:space="preserve">4. Content Marketing Excellence</w:t>
      </w:r>
    </w:p>
    <w:p>
      <w:pPr>
        <w:pStyle w:val="FirstParagraph"/>
      </w:pPr>
      <w:r>
        <w:t xml:space="preserve">Publishing the "Auckland Architectural Insight" podcast featuring interviews with local leaders like the Mayor of Auckland and indigenous designers. Our blog will address region-specific challenges – e.g., "Navigating Auckland Council's New Urban Growth Policy for Developers." This positions our Architect team as indispensable guides to navigating New Zealand's complex planning environment.</w:t>
      </w:r>
    </w:p>
    <w:bookmarkEnd w:id="27"/>
    <w:bookmarkEnd w:id="28"/>
    <w:bookmarkEnd w:id="29"/>
    <w:bookmarkStart w:id="30" w:name="budget-allocation-12-month-plan"/>
    <w:p>
      <w:pPr>
        <w:pStyle w:val="Heading2"/>
      </w:pPr>
      <w:r>
        <w:t xml:space="preserve">Budget Allocation (12-Month Plan)</w:t>
      </w:r>
    </w:p>
    <w:p>
      <w:pPr>
        <w:pStyle w:val="FirstParagraph"/>
      </w:pPr>
      <w:r>
        <w:t xml:space="preserve">Marketing Channel</w:t>
      </w:r>
    </w:p>
    <w:p>
      <w:pPr>
        <w:pStyle w:val="BodyText"/>
      </w:pPr>
      <w:r>
        <w:t xml:space="preserve">Allocation</w:t>
      </w:r>
    </w:p>
    <w:p>
      <w:pPr>
        <w:pStyle w:val="BodyText"/>
      </w:pPr>
      <w:r>
        <w:t xml:space="preserve">Expected ROI</w:t>
      </w:r>
    </w:p>
    <w:p>
      <w:pPr>
        <w:pStyle w:val="BodyText"/>
      </w:pPr>
      <w:r>
        <w:t xml:space="preserve">Digital Advertising (Google/Instagram)</w:t>
      </w:r>
    </w:p>
    <w:p>
      <w:pPr>
        <w:pStyle w:val="BodyText"/>
      </w:pPr>
      <w:r>
        <w:t xml:space="preserve">$28,000</w:t>
      </w:r>
    </w:p>
    <w:p>
      <w:pPr>
        <w:pStyle w:val="BodyText"/>
      </w:pPr>
      <w:r>
        <w:t xml:space="preserve">3.5x lead generation cost recovery</w:t>
      </w:r>
    </w:p>
    <w:p>
      <w:pPr>
        <w:pStyle w:val="BodyText"/>
      </w:pPr>
      <w:r>
        <w:t xml:space="preserve">Community Events &amp; Partnerships</w:t>
      </w:r>
    </w:p>
    <w:p>
      <w:pPr>
        <w:pStyle w:val="BodyText"/>
      </w:pPr>
      <w:r>
        <w:t xml:space="preserve">$18,500</w:t>
      </w:r>
    </w:p>
    <w:p>
      <w:pPr>
        <w:pStyle w:val="BodyText"/>
      </w:pPr>
      <w:r>
        <w:t xml:space="preserve">High brand trust conversion (est. 22% leads)</w:t>
      </w:r>
    </w:p>
    <w:p>
      <w:pPr>
        <w:pStyle w:val="BodyText"/>
      </w:pPr>
      <w:r>
        <w:t xml:space="preserve">Content Creation (Podcast/Blog/Video)</w:t>
      </w:r>
    </w:p>
    <w:p>
      <w:pPr>
        <w:pStyle w:val="BodyText"/>
      </w:pPr>
      <w:r>
        <w:t xml:space="preserve">$15,000</w:t>
      </w:r>
    </w:p>
    <w:p>
      <w:pPr>
        <w:pStyle w:val="BodyText"/>
      </w:pPr>
      <w:r>
        <w:t xml:space="preserve">Sustained organic traffic growth</w:t>
      </w:r>
    </w:p>
    <w:p>
      <w:pPr>
        <w:pStyle w:val="BodyText"/>
      </w:pPr>
      <w:r>
        <w:t xml:space="preserve">Public Relations &amp; Media</w:t>
      </w:r>
    </w:p>
    <w:p>
      <w:pPr>
        <w:pStyle w:val="BodyText"/>
      </w:pPr>
      <w:r>
        <w:t xml:space="preserve">$8,500</w:t>
      </w:r>
    </w:p>
    <w:p>
      <w:pPr>
        <w:pStyle w:val="BodyText"/>
      </w:pPr>
      <w:r>
        <w:t xml:space="preserve">Featured in NZ Herald Home &amp; Garden section (target: 3 features)</w:t>
      </w:r>
    </w:p>
    <w:bookmarkEnd w:id="30"/>
    <w:bookmarkStart w:id="31" w:name="implementation-timeline"/>
    <w:p>
      <w:pPr>
        <w:pStyle w:val="Heading2"/>
      </w:pPr>
      <w:r>
        <w:t xml:space="preserve">Implementation Timeline</w:t>
      </w:r>
    </w:p>
    <w:p>
      <w:pPr>
        <w:numPr>
          <w:ilvl w:val="0"/>
          <w:numId w:val="1002"/>
        </w:numPr>
        <w:pStyle w:val="Compact"/>
      </w:pPr>
      <w:r>
        <w:rPr>
          <w:bCs/>
          <w:b/>
        </w:rPr>
        <w:t xml:space="preserve">Months 1-3:</w:t>
      </w:r>
      <w:r>
        <w:t xml:space="preserve"> </w:t>
      </w:r>
      <w:r>
        <w:t xml:space="preserve">Launch digital campaigns, finalize iwi partnerships, and debut podcast. Host first community workshop at Takapuna Library.</w:t>
      </w:r>
    </w:p>
    <w:p>
      <w:pPr>
        <w:numPr>
          <w:ilvl w:val="0"/>
          <w:numId w:val="1002"/>
        </w:numPr>
        <w:pStyle w:val="Compact"/>
      </w:pPr>
      <w:r>
        <w:rPr>
          <w:bCs/>
          <w:b/>
        </w:rPr>
        <w:t xml:space="preserve">Months 4-6:</w:t>
      </w:r>
      <w:r>
        <w:t xml:space="preserve"> </w:t>
      </w:r>
      <w:r>
        <w:t xml:space="preserve">Roll out Auckland-specific guidebooks; secure media features; initiate "Future Architects" school program.</w:t>
      </w:r>
    </w:p>
    <w:p>
      <w:pPr>
        <w:numPr>
          <w:ilvl w:val="0"/>
          <w:numId w:val="1002"/>
        </w:numPr>
        <w:pStyle w:val="Compact"/>
      </w:pPr>
      <w:r>
        <w:rPr>
          <w:bCs/>
          <w:b/>
        </w:rPr>
        <w:t xml:space="preserve">Months 7-12:</w:t>
      </w:r>
      <w:r>
        <w:t xml:space="preserve"> </w:t>
      </w:r>
      <w:r>
        <w:t xml:space="preserve">Scale successful tactics, host annual Auckland Design Symposium at ASB Waterfront, and measure market share growth through client surveys.</w:t>
      </w:r>
    </w:p>
    <w:bookmarkEnd w:id="31"/>
    <w:bookmarkStart w:id="32" w:name="measurement-evaluation"/>
    <w:p>
      <w:pPr>
        <w:pStyle w:val="Heading2"/>
      </w:pPr>
      <w:r>
        <w:t xml:space="preserve">Measurement &amp; Evaluation</w:t>
      </w:r>
    </w:p>
    <w:p>
      <w:pPr>
        <w:pStyle w:val="FirstParagraph"/>
      </w:pPr>
      <w:r>
        <w:t xml:space="preserve">We track success through New Zealand-specific KPIs:</w:t>
      </w:r>
      <w:r>
        <w:t xml:space="preserve"> </w:t>
      </w:r>
      <w:r>
        <w:t xml:space="preserve">• Lead-to-client conversion rate (target: 30%)</w:t>
      </w:r>
      <w:r>
        <w:t xml:space="preserve"> </w:t>
      </w:r>
      <w:r>
        <w:t xml:space="preserve">• Social media engagement rate in Auckland (target: 15%)</w:t>
      </w:r>
      <w:r>
        <w:t xml:space="preserve"> </w:t>
      </w:r>
      <w:r>
        <w:t xml:space="preserve">• Client retention rate for repeat projects (target: 45%)</w:t>
      </w:r>
      <w:r>
        <w:t xml:space="preserve"> </w:t>
      </w:r>
      <w:r>
        <w:t xml:space="preserve">• Mentions in Auckland-focused media (e.g., "Auckland Business News")</w:t>
      </w:r>
    </w:p>
    <w:p>
      <w:pPr>
        <w:pStyle w:val="BodyText"/>
      </w:pPr>
      <w:r>
        <w:t xml:space="preserve">Monthly reviews will assess how effectively our Architect services address Auckland's unique urban challenges. Quarterly third-party surveys will gauge brand perception against competitors within New Zealand's architectural community.</w:t>
      </w:r>
    </w:p>
    <w:bookmarkEnd w:id="32"/>
    <w:bookmarkStart w:id="33" w:name="conclusion-architecting-aucklands-future"/>
    <w:p>
      <w:pPr>
        <w:pStyle w:val="Heading2"/>
      </w:pPr>
      <w:r>
        <w:t xml:space="preserve">Conclusion: Architecting Auckland's Future</w:t>
      </w:r>
    </w:p>
    <w:p>
      <w:pPr>
        <w:pStyle w:val="FirstParagraph"/>
      </w:pPr>
      <w:r>
        <w:t xml:space="preserve">This Marketing Plan transforms our firm from a service provider into an essential partner in Auckland’s built environment evolution. By embedding deep cultural understanding and hyperlocal market knowledge, we don't just design spaces – we craft solutions that resonate with the heartbeat of New Zealand Auckland. As urban growth accelerates, this strategy ensures our Architect practice becomes synonymous with responsible innovation across Tāmaki Makaurau's most meaningful projects. With a clear focus on sustainable growth and community integration, this Marketing Plan delivers not only measurable business outcomes but also meaningful contributions to Auckland’s architectural legacy.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New Zealand Auckland</dc:title>
  <dc:creator/>
  <dc:language>en</dc:language>
  <cp:keywords/>
  <dcterms:created xsi:type="dcterms:W3CDTF">2026-07-24T05:19:08Z</dcterms:created>
  <dcterms:modified xsi:type="dcterms:W3CDTF">2026-07-24T05:19:08Z</dcterms:modified>
</cp:coreProperties>
</file>

<file path=docProps/custom.xml><?xml version="1.0" encoding="utf-8"?>
<Properties xmlns="http://schemas.openxmlformats.org/officeDocument/2006/custom-properties" xmlns:vt="http://schemas.openxmlformats.org/officeDocument/2006/docPropsVTypes"/>
</file>