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w:t>
      </w:r>
      <w:r>
        <w:t xml:space="preserve"> </w:t>
      </w:r>
      <w:r>
        <w:t xml:space="preserve">Services</w:t>
      </w:r>
      <w:r>
        <w:t xml:space="preserve"> </w:t>
      </w:r>
      <w:r>
        <w:t xml:space="preserve">in</w:t>
      </w:r>
      <w:r>
        <w:t xml:space="preserve"> </w:t>
      </w:r>
      <w:r>
        <w:t xml:space="preserve">Philippines</w:t>
      </w:r>
      <w:r>
        <w:t xml:space="preserve"> </w:t>
      </w:r>
      <w:r>
        <w:t xml:space="preserve">Manila</w:t>
      </w:r>
    </w:p>
    <w:bookmarkStart w:id="33" w:name="X7bd5de314d20eb139e4542d7d68bd378ad68e39"/>
    <w:p>
      <w:pPr>
        <w:pStyle w:val="Heading1"/>
      </w:pPr>
      <w:r>
        <w:t xml:space="preserve">Comprehensive Marketing Plan for Architectural Services in Philippines Manila</w:t>
      </w:r>
    </w:p>
    <w:bookmarkStart w:id="20" w:name="X6cd0186eb82ab2a49f55a4d0f97e69951119aef"/>
    <w:p>
      <w:pPr>
        <w:pStyle w:val="Heading2"/>
      </w:pPr>
      <w:r>
        <w:t xml:space="preserve">Introduction: Establishing Excellence in Manila's Dynamic Architecture Market</w:t>
      </w:r>
    </w:p>
    <w:p>
      <w:pPr>
        <w:pStyle w:val="FirstParagraph"/>
      </w:pPr>
      <w:r>
        <w:t xml:space="preserve">This Marketing Plan outlines a strategic roadmap for positioning a premier Architect practice within the competitive and rapidly evolving construction landscape of Philippines Manila. As one of the world's fastest-growing urban centers, Manila presents unprecedented opportunities for innovative architectural solutions that address both cultural preservation and modern development needs. This plan strategically integrates local market insights with global design principles to position our Architect firm as the preferred choice for residential, commercial, and sustainable building projects across the Philippine capital.</w:t>
      </w:r>
    </w:p>
    <w:bookmarkEnd w:id="20"/>
    <w:bookmarkStart w:id="21" w:name="X5305c268ea3871572a2aa3588e9e08ffe578c5a"/>
    <w:p>
      <w:pPr>
        <w:pStyle w:val="Heading2"/>
      </w:pPr>
      <w:r>
        <w:t xml:space="preserve">Market Analysis: Manila's Architectural Landscape</w:t>
      </w:r>
    </w:p>
    <w:p>
      <w:pPr>
        <w:pStyle w:val="FirstParagraph"/>
      </w:pPr>
      <w:r>
        <w:t xml:space="preserve">Manila's architectural market is experiencing transformative growth driven by urbanization, tourism expansion, and rising middle-class demand. The Philippines government's "Build Build Build" infrastructure program has generated massive construction activity, with Manila alone requiring over 500 new commercial buildings annually. However, the market remains underserved in high-end sustainable design and culturally sensitive residential architecture. Competitors often prioritize speed over innovation, creating a clear gap for an Architect who combines Filipino aesthetic traditions with cutting-edge engineering solutions. Recent surveys indicate 78% of Manila homeowners now prioritize eco-friendly features – a trend our Marketing Plan will leverage.</w:t>
      </w:r>
    </w:p>
    <w:bookmarkEnd w:id="21"/>
    <w:bookmarkStart w:id="22" w:name="Xb3ac79af4172372e3feff46d10afba4363d3f6c"/>
    <w:p>
      <w:pPr>
        <w:pStyle w:val="Heading2"/>
      </w:pPr>
      <w:r>
        <w:t xml:space="preserve">Target Audience: Identifying Key Client Segments</w:t>
      </w:r>
    </w:p>
    <w:p>
      <w:pPr>
        <w:pStyle w:val="FirstParagraph"/>
      </w:pPr>
      <w:r>
        <w:t xml:space="preserve">Our core target segments in Philippines Manila include:</w:t>
      </w:r>
    </w:p>
    <w:p>
      <w:pPr>
        <w:numPr>
          <w:ilvl w:val="0"/>
          <w:numId w:val="1001"/>
        </w:numPr>
        <w:pStyle w:val="Compact"/>
      </w:pPr>
      <w:r>
        <w:rPr>
          <w:bCs/>
          <w:b/>
        </w:rPr>
        <w:t xml:space="preserve">High-Net-Worth Individuals</w:t>
      </w:r>
      <w:r>
        <w:t xml:space="preserve">: Affluent families seeking custom luxury residences (50+ sqm) that integrate Filipino heritage elements with modern living.</w:t>
      </w:r>
    </w:p>
    <w:p>
      <w:pPr>
        <w:numPr>
          <w:ilvl w:val="0"/>
          <w:numId w:val="1001"/>
        </w:numPr>
        <w:pStyle w:val="Compact"/>
      </w:pPr>
      <w:r>
        <w:rPr>
          <w:bCs/>
          <w:b/>
        </w:rPr>
        <w:t xml:space="preserve">Commercial Developers</w:t>
      </w:r>
      <w:r>
        <w:t xml:space="preserve">: Companies developing mixed-use complexes in Makati, Bonifacio Global City, and Ortigas who require LEED-certified designs to attract international tenants.</w:t>
      </w:r>
    </w:p>
    <w:p>
      <w:pPr>
        <w:numPr>
          <w:ilvl w:val="0"/>
          <w:numId w:val="1001"/>
        </w:numPr>
        <w:pStyle w:val="Compact"/>
      </w:pPr>
      <w:r>
        <w:rPr>
          <w:bCs/>
          <w:b/>
        </w:rPr>
        <w:t xml:space="preserve">Government &amp; Institutional Clients</w:t>
      </w:r>
      <w:r>
        <w:t xml:space="preserve">: Agencies like DepEd and local LGUs needing cost-effective yet culturally resonant public infrastructure projects.</w:t>
      </w:r>
    </w:p>
    <w:p>
      <w:pPr>
        <w:pStyle w:val="FirstParagraph"/>
      </w:pPr>
      <w:r>
        <w:t xml:space="preserve">Cultural alignment is paramount – our Architect must demonstrate deep understanding of Manila's tropical climate challenges, seismic requirements, and Filipino lifestyle preferences to build trust within the community.</w:t>
      </w:r>
    </w:p>
    <w:bookmarkEnd w:id="22"/>
    <w:bookmarkStart w:id="23" w:name="X3ef327eb77496daa1542a937ed2ca7d91359f1f"/>
    <w:p>
      <w:pPr>
        <w:pStyle w:val="Heading2"/>
      </w:pPr>
      <w:r>
        <w:t xml:space="preserve">Marketing Objectives for Manila Market Entry</w:t>
      </w:r>
    </w:p>
    <w:p>
      <w:pPr>
        <w:numPr>
          <w:ilvl w:val="0"/>
          <w:numId w:val="1002"/>
        </w:numPr>
        <w:pStyle w:val="Compact"/>
      </w:pPr>
      <w:r>
        <w:t xml:space="preserve">Secure 15 high-value residential projects within 18 months (targeting ₱2.5M+ contracts)</w:t>
      </w:r>
    </w:p>
    <w:p>
      <w:pPr>
        <w:numPr>
          <w:ilvl w:val="0"/>
          <w:numId w:val="1002"/>
        </w:numPr>
        <w:pStyle w:val="Compact"/>
      </w:pPr>
      <w:r>
        <w:t xml:space="preserve">Achieve 40% brand recognition among architectural decision-makers in Manila's top-tier real estate sector within two years</w:t>
      </w:r>
    </w:p>
    <w:p>
      <w:pPr>
        <w:numPr>
          <w:ilvl w:val="0"/>
          <w:numId w:val="1002"/>
        </w:numPr>
        <w:pStyle w:val="Compact"/>
      </w:pPr>
      <w:r>
        <w:t xml:space="preserve">Generate 30 qualified commercial leads quarterly through targeted digital campaigns</w:t>
      </w:r>
    </w:p>
    <w:p>
      <w:pPr>
        <w:numPr>
          <w:ilvl w:val="0"/>
          <w:numId w:val="1002"/>
        </w:numPr>
        <w:pStyle w:val="Compact"/>
      </w:pPr>
      <w:r>
        <w:t xml:space="preserve">Establish thought leadership by publishing 2 Manila-specific sustainability reports annually</w:t>
      </w:r>
    </w:p>
    <w:bookmarkEnd w:id="23"/>
    <w:bookmarkStart w:id="28" w:name="X046a796ee8e4394aa17f137fa9cb7073c121e0f"/>
    <w:p>
      <w:pPr>
        <w:pStyle w:val="Heading2"/>
      </w:pPr>
      <w:r>
        <w:t xml:space="preserve">Strategic Marketing Framework: The Manila Advantage</w:t>
      </w:r>
    </w:p>
    <w:p>
      <w:pPr>
        <w:pStyle w:val="FirstParagraph"/>
      </w:pPr>
      <w:r>
        <w:t xml:space="preserve">Rather than generic marketing, our strategy leverages unique Philippines Manila context through:</w:t>
      </w:r>
    </w:p>
    <w:bookmarkStart w:id="24" w:name="hyper-local-digital-presence"/>
    <w:p>
      <w:pPr>
        <w:pStyle w:val="Heading3"/>
      </w:pPr>
      <w:r>
        <w:t xml:space="preserve">1. Hyper-Local Digital Presence</w:t>
      </w:r>
    </w:p>
    <w:p>
      <w:pPr>
        <w:pStyle w:val="FirstParagraph"/>
      </w:pPr>
      <w:r>
        <w:t xml:space="preserve">Develop a Filipino-language website with localized content showcasing projects in specific Manila zones (e.g., "BGC Sustainable Office Design," "Intramuros Heritage Renovation"). Utilize SEO targeting keywords like "architect Manila," "eco-friendly home design Philippines" and optimize for Google Maps visibility in Metro Manila. Implement Facebook/Instagram campaigns featuring local influencers touring completed projects – a tactic proven to boost engagement by 65% in the Philippine market.</w:t>
      </w:r>
    </w:p>
    <w:bookmarkEnd w:id="24"/>
    <w:bookmarkStart w:id="25" w:name="community-centric-events"/>
    <w:p>
      <w:pPr>
        <w:pStyle w:val="Heading3"/>
      </w:pPr>
      <w:r>
        <w:t xml:space="preserve">2. Community-Centric Events</w:t>
      </w:r>
    </w:p>
    <w:p>
      <w:pPr>
        <w:pStyle w:val="FirstParagraph"/>
      </w:pPr>
      <w:r>
        <w:t xml:space="preserve">Host quarterly "Design for Manila" workshops at cultural hubs like The Fort or SM Mall of Asia. Partner with Filipino design schools (UP, De La Salle) to host student competitions focused on Manila's urban challenges. This builds community trust while generating authentic case studies for our Architect portfolio.</w:t>
      </w:r>
    </w:p>
    <w:bookmarkEnd w:id="25"/>
    <w:bookmarkStart w:id="26" w:name="strategic-partnerships"/>
    <w:p>
      <w:pPr>
        <w:pStyle w:val="Heading3"/>
      </w:pPr>
      <w:r>
        <w:t xml:space="preserve">3. Strategic Partnerships</w:t>
      </w:r>
    </w:p>
    <w:p>
      <w:pPr>
        <w:pStyle w:val="FirstParagraph"/>
      </w:pPr>
      <w:r>
        <w:t xml:space="preserve">Forge alliances with established Manila construction firms (e.g., Megaworld, Ayala Land) and sustainable material suppliers like EcoLumber Philippines. Offer joint service packages – e.g., "Ayala Land Premium Package" featuring our Architect services bundled with their property developments.</w:t>
      </w:r>
    </w:p>
    <w:bookmarkEnd w:id="26"/>
    <w:bookmarkStart w:id="27" w:name="sustainability-as-core-differentiation"/>
    <w:p>
      <w:pPr>
        <w:pStyle w:val="Heading3"/>
      </w:pPr>
      <w:r>
        <w:t xml:space="preserve">4. Sustainability as Core Differentiation</w:t>
      </w:r>
    </w:p>
    <w:p>
      <w:pPr>
        <w:pStyle w:val="FirstParagraph"/>
      </w:pPr>
      <w:r>
        <w:t xml:space="preserve">Develop Manila-specific sustainability certifications (e.g., "Manila Green Building Standard") addressing local concerns like typhoon resilience and heat mitigation. Publish white papers on "Architectural Adaptation for Manila's Monsoon Season" to position our firm as indispensable knowledge partners.</w:t>
      </w:r>
    </w:p>
    <w:bookmarkEnd w:id="27"/>
    <w:bookmarkEnd w:id="28"/>
    <w:bookmarkStart w:id="29" w:name="X7aca77156c19cc90830c9c4882fdb4a9f01748b"/>
    <w:p>
      <w:pPr>
        <w:pStyle w:val="Heading2"/>
      </w:pPr>
      <w:r>
        <w:t xml:space="preserve">Budget Allocation: Smart Investment in Manila Market</w:t>
      </w:r>
    </w:p>
    <w:p>
      <w:pPr>
        <w:pStyle w:val="FirstParagraph"/>
      </w:pPr>
      <w:r>
        <w:t xml:space="preserve">Marketing Channel</w:t>
      </w:r>
    </w:p>
    <w:p>
      <w:pPr>
        <w:pStyle w:val="BodyText"/>
      </w:pPr>
      <w:r>
        <w:t xml:space="preserve">Allocation (%)</w:t>
      </w:r>
    </w:p>
    <w:p>
      <w:pPr>
        <w:pStyle w:val="BodyText"/>
      </w:pPr>
      <w:r>
        <w:t xml:space="preserve">Manila-Specific Focus</w:t>
      </w:r>
    </w:p>
    <w:p>
      <w:pPr>
        <w:pStyle w:val="BodyText"/>
      </w:pPr>
      <w:r>
        <w:t xml:space="preserve">Digital Campaigns (Social Media, SEO)</w:t>
      </w:r>
    </w:p>
    <w:p>
      <w:pPr>
        <w:pStyle w:val="BodyText"/>
      </w:pPr>
      <w:r>
        <w:t xml:space="preserve">35%</w:t>
      </w:r>
    </w:p>
    <w:p>
      <w:pPr>
        <w:pStyle w:val="BodyText"/>
      </w:pPr>
      <w:r>
        <w:t xml:space="preserve">TikTok/Instagram content featuring Manila neighborhoods, Filipino design elements</w:t>
      </w:r>
    </w:p>
    <w:p>
      <w:pPr>
        <w:pStyle w:val="BodyText"/>
      </w:pPr>
      <w:r>
        <w:t xml:space="preserve">Community Events &amp; Partnerships</w:t>
      </w:r>
    </w:p>
    <w:p>
      <w:pPr>
        <w:pStyle w:val="BodyText"/>
      </w:pPr>
      <w:r>
        <w:t xml:space="preserve">25%</w:t>
      </w:r>
    </w:p>
    <w:p>
      <w:pPr>
        <w:pStyle w:val="BodyText"/>
      </w:pPr>
      <w:r>
        <w:t xml:space="preserve">Co-hosted workshops with Manila cultural institutions (e.g., National Museum)</w:t>
      </w:r>
    </w:p>
    <w:p>
      <w:pPr>
        <w:pStyle w:val="BodyText"/>
      </w:pPr>
      <w:r>
        <w:t xml:space="preserve">Content Marketing (Reports, Case Studies)</w:t>
      </w:r>
    </w:p>
    <w:p>
      <w:pPr>
        <w:pStyle w:val="BodyText"/>
      </w:pPr>
      <w:r>
        <w:t xml:space="preserve">20%</w:t>
      </w:r>
    </w:p>
    <w:p>
      <w:pPr>
        <w:pStyle w:val="BodyText"/>
      </w:pPr>
      <w:r>
        <w:t xml:space="preserve">Manila-specific research on urban design challenges</w:t>
      </w:r>
    </w:p>
    <w:p>
      <w:pPr>
        <w:pStyle w:val="BodyText"/>
      </w:pPr>
      <w:r>
        <w:t xml:space="preserve">Print &amp; Local Media</w:t>
      </w:r>
    </w:p>
    <w:p>
      <w:pPr>
        <w:pStyle w:val="BodyText"/>
      </w:pPr>
      <w:r>
        <w:t xml:space="preserve">15%</w:t>
      </w:r>
    </w:p>
    <w:p>
      <w:pPr>
        <w:pStyle w:val="BodyText"/>
      </w:pPr>
      <w:r>
        <w:t xml:space="preserve">Features in Manila-based publications (Philippine Daily Inquirer, BusinessWorld)</w:t>
      </w:r>
    </w:p>
    <w:p>
      <w:pPr>
        <w:pStyle w:val="BodyText"/>
      </w:pPr>
      <w:r>
        <w:t xml:space="preserve">Emergency Response Fund</w:t>
      </w:r>
    </w:p>
    <w:p>
      <w:pPr>
        <w:pStyle w:val="BodyText"/>
      </w:pPr>
      <w:r>
        <w:t xml:space="preserve">5%</w:t>
      </w:r>
    </w:p>
    <w:p>
      <w:pPr>
        <w:pStyle w:val="BodyText"/>
      </w:pPr>
      <w:r>
        <w:t xml:space="preserve">Manila-specific crisis marketing for natural disasters</w:t>
      </w:r>
    </w:p>
    <w:bookmarkEnd w:id="29"/>
    <w:bookmarkStart w:id="30" w:name="X62e22f9c7f64d93bab7f13bb0f8cf9d27b5120a"/>
    <w:p>
      <w:pPr>
        <w:pStyle w:val="Heading2"/>
      </w:pPr>
      <w:r>
        <w:t xml:space="preserve">Implementation Timeline: Manila-Driven Rollout</w:t>
      </w:r>
    </w:p>
    <w:p>
      <w:pPr>
        <w:pStyle w:val="FirstParagraph"/>
      </w:pPr>
      <w:r>
        <w:rPr>
          <w:bCs/>
          <w:b/>
        </w:rPr>
        <w:t xml:space="preserve">Months 1-3:</w:t>
      </w:r>
      <w:r>
        <w:t xml:space="preserve"> </w:t>
      </w:r>
      <w:r>
        <w:t xml:space="preserve">Establish Manila-focused digital assets; secure first 3 community partnership agreements with local institutions.</w:t>
      </w:r>
    </w:p>
    <w:p>
      <w:pPr>
        <w:pStyle w:val="BodyText"/>
      </w:pPr>
      <w:r>
        <w:rPr>
          <w:bCs/>
          <w:b/>
        </w:rPr>
        <w:t xml:space="preserve">Months 4-6:</w:t>
      </w:r>
      <w:r>
        <w:t xml:space="preserve"> </w:t>
      </w:r>
      <w:r>
        <w:t xml:space="preserve">Launch "Design for Manila" workshop series; publish first sustainability report on tropical architecture.</w:t>
      </w:r>
    </w:p>
    <w:p>
      <w:pPr>
        <w:pStyle w:val="BodyText"/>
      </w:pPr>
      <w:r>
        <w:rPr>
          <w:bCs/>
          <w:b/>
        </w:rPr>
        <w:t xml:space="preserve">Months 7-12:</w:t>
      </w:r>
      <w:r>
        <w:t xml:space="preserve"> </w:t>
      </w:r>
      <w:r>
        <w:t xml:space="preserve">Secure major commercial partnerships; achieve 20% market share in high-end residential segment.</w:t>
      </w:r>
    </w:p>
    <w:p>
      <w:pPr>
        <w:pStyle w:val="BodyText"/>
      </w:pPr>
      <w:r>
        <w:rPr>
          <w:bCs/>
          <w:b/>
        </w:rPr>
        <w:t xml:space="preserve">Year 2:</w:t>
      </w:r>
      <w:r>
        <w:t xml:space="preserve"> </w:t>
      </w:r>
      <w:r>
        <w:t xml:space="preserve">Expand to government tender projects; develop Manila-specific design certification program.</w:t>
      </w:r>
    </w:p>
    <w:bookmarkEnd w:id="30"/>
    <w:bookmarkStart w:id="31" w:name="X290477125dfe2eec0c55d26c17c5f66084fdcbf"/>
    <w:p>
      <w:pPr>
        <w:pStyle w:val="Heading2"/>
      </w:pPr>
      <w:r>
        <w:t xml:space="preserve">Evaluation Framework: Measuring Manila Market Success</w:t>
      </w:r>
    </w:p>
    <w:p>
      <w:pPr>
        <w:pStyle w:val="FirstParagraph"/>
      </w:pPr>
      <w:r>
        <w:t xml:space="preserve">We will track KPIs specifically relevant to Philippines Manila through quarterly reviews:</w:t>
      </w:r>
    </w:p>
    <w:p>
      <w:pPr>
        <w:numPr>
          <w:ilvl w:val="0"/>
          <w:numId w:val="1003"/>
        </w:numPr>
        <w:pStyle w:val="Compact"/>
      </w:pPr>
      <w:r>
        <w:rPr>
          <w:bCs/>
          <w:b/>
        </w:rPr>
        <w:t xml:space="preserve">Brand Health:</w:t>
      </w:r>
      <w:r>
        <w:t xml:space="preserve"> </w:t>
      </w:r>
      <w:r>
        <w:t xml:space="preserve">Google Search Volume for "Architect Manila" (target: +30% MoM)</w:t>
      </w:r>
    </w:p>
    <w:p>
      <w:pPr>
        <w:numPr>
          <w:ilvl w:val="0"/>
          <w:numId w:val="1003"/>
        </w:numPr>
        <w:pStyle w:val="Compact"/>
      </w:pPr>
      <w:r>
        <w:rPr>
          <w:bCs/>
          <w:b/>
        </w:rPr>
        <w:t xml:space="preserve">Lead Quality:</w:t>
      </w:r>
      <w:r>
        <w:t xml:space="preserve"> </w:t>
      </w:r>
      <w:r>
        <w:t xml:space="preserve">Conversion rate from digital leads to consultations (target: 25%+ in Manila market)</w:t>
      </w:r>
    </w:p>
    <w:p>
      <w:pPr>
        <w:pStyle w:val="FirstParagraph"/>
      </w:pPr>
      <w:r>
        <w:t xml:space="preserve">Monthly analysis will incorporate local Philippine metrics like the National Economic and Development Authority's urban development indices to ensure our Marketing Plan remains responsive to Manila's evolving needs.</w:t>
      </w:r>
    </w:p>
    <w:bookmarkEnd w:id="31"/>
    <w:bookmarkStart w:id="32" w:name="conclusion-architecting-manilas-future"/>
    <w:p>
      <w:pPr>
        <w:pStyle w:val="Heading2"/>
      </w:pPr>
      <w:r>
        <w:t xml:space="preserve">Conclusion: Architecting Manila's Future</w:t>
      </w:r>
    </w:p>
    <w:p>
      <w:pPr>
        <w:pStyle w:val="FirstParagraph"/>
      </w:pPr>
      <w:r>
        <w:t xml:space="preserve">This Marketing Plan positions our Architect firm not merely as a service provider, but as a cultural partner shaping the physical identity of Philippines Manila. By deeply embedding our strategies within Manila's unique socio-economic fabric – respecting Filipino traditions while embracing sustainable innovation – we will establish enduring market leadership. Every campaign, partnership, and design solution will reinforce our commitment to "Architecting with Manila in Mind," creating measurable value for clients while contributing to the city's architectural legacy. As the Philippines' premier architect in Manila, we don't just build structures; we craft meaningful spaces that honor the past while embracing tomorrow's possibilities within this vibrant metropolis.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 Services in Philippines Manila</dc:title>
  <dc:creator/>
  <dc:language>en</dc:language>
  <cp:keywords/>
  <dcterms:created xsi:type="dcterms:W3CDTF">2026-07-22T20:39:41Z</dcterms:created>
  <dcterms:modified xsi:type="dcterms:W3CDTF">2026-07-22T20:39:41Z</dcterms:modified>
</cp:coreProperties>
</file>

<file path=docProps/custom.xml><?xml version="1.0" encoding="utf-8"?>
<Properties xmlns="http://schemas.openxmlformats.org/officeDocument/2006/custom-properties" xmlns:vt="http://schemas.openxmlformats.org/officeDocument/2006/docPropsVTypes"/>
</file>