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7534e8ac89bf499871b6321dd03193dac6102bd"/>
    <w:p>
      <w:pPr>
        <w:pStyle w:val="Heading1"/>
      </w:pPr>
      <w:r>
        <w:t xml:space="preserve">Comprehensive Marketing Plan for Premium Architectural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firm in the dynamic urban landscape of Qatar Doha. As the capital city undergoes unprecedented development aligned with Vision 2030, there exists a critical demand for innovative, culturally sensitive Architect solutions that harmonize modernity with Qatari heritage. This plan targets capturing 15% market share within three years by delivering bespoke architectural services that address Doha's unique urban challenges while leveraging Qatar's investment in sustainable infrastructure. The core proposition centers on creating spaces that embody national identity, operational efficiency, and environmental stewardship – positioning our Architect firm as the indispensable partner for Qatar's built environment evolution.</w:t>
      </w:r>
    </w:p>
    <w:bookmarkEnd w:id="20"/>
    <w:bookmarkStart w:id="21" w:name="market-analysis-qatar-doha-context"/>
    <w:p>
      <w:pPr>
        <w:pStyle w:val="Heading2"/>
      </w:pPr>
      <w:r>
        <w:t xml:space="preserve">Market Analysis: Qatar Doha Context</w:t>
      </w:r>
    </w:p>
    <w:p>
      <w:pPr>
        <w:pStyle w:val="FirstParagraph"/>
      </w:pPr>
      <w:r>
        <w:t xml:space="preserve">Doha has transformed into a global architectural hub since the 2022 FIFA World Cup, with over $150 billion invested in infrastructure, hospitality, and mixed-use developments. The Architectural market is characterized by:</w:t>
      </w:r>
    </w:p>
    <w:p>
      <w:pPr>
        <w:numPr>
          <w:ilvl w:val="0"/>
          <w:numId w:val="1001"/>
        </w:numPr>
        <w:pStyle w:val="Compact"/>
      </w:pPr>
      <w:r>
        <w:rPr>
          <w:bCs/>
          <w:b/>
        </w:rPr>
        <w:t xml:space="preserve">Government-Driven Projects:</w:t>
      </w:r>
      <w:r>
        <w:t xml:space="preserve"> </w:t>
      </w:r>
      <w:r>
        <w:t xml:space="preserve">Qatar Development Bank (QDB) and Supreme Committee for Delivery &amp; Legacy (SCDEL) drive large-scale initiatives requiring internationally recognized Architect expertise.</w:t>
      </w:r>
    </w:p>
    <w:p>
      <w:pPr>
        <w:numPr>
          <w:ilvl w:val="0"/>
          <w:numId w:val="1001"/>
        </w:numPr>
        <w:pStyle w:val="Compact"/>
      </w:pPr>
      <w:r>
        <w:rPr>
          <w:bCs/>
          <w:b/>
        </w:rPr>
        <w:t xml:space="preserve">Sustainability Imperative:</w:t>
      </w:r>
      <w:r>
        <w:t xml:space="preserve"> </w:t>
      </w:r>
      <w:r>
        <w:t xml:space="preserve">Qatar National Vision 2030 mandates 40% reduction in carbon emissions by 2030, creating demand for LEED-certified Architect services.</w:t>
      </w:r>
    </w:p>
    <w:p>
      <w:pPr>
        <w:numPr>
          <w:ilvl w:val="0"/>
          <w:numId w:val="1001"/>
        </w:numPr>
        <w:pStyle w:val="Compact"/>
      </w:pPr>
      <w:r>
        <w:rPr>
          <w:bCs/>
          <w:b/>
        </w:rPr>
        <w:t xml:space="preserve">Cultural Integration:</w:t>
      </w:r>
      <w:r>
        <w:t xml:space="preserve"> </w:t>
      </w:r>
      <w:r>
        <w:t xml:space="preserve">Clients increasingly seek designs that reflect Islamic architectural principles while meeting global standards – a niche our firm will dominate.</w:t>
      </w:r>
    </w:p>
    <w:p>
      <w:pPr>
        <w:numPr>
          <w:ilvl w:val="0"/>
          <w:numId w:val="1001"/>
        </w:numPr>
        <w:pStyle w:val="Compact"/>
      </w:pPr>
      <w:r>
        <w:rPr>
          <w:bCs/>
          <w:b/>
        </w:rPr>
        <w:t xml:space="preserve">Competition Landscape:</w:t>
      </w:r>
      <w:r>
        <w:t xml:space="preserve"> </w:t>
      </w:r>
      <w:r>
        <w:t xml:space="preserve">Dominated by international firms (e.g., Zaha Hadid Architects) and local players lacking deep cultural fluency. This presents an opportunity for a locally rooted Architect practice with global capabilities.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Qatar Doha:</w:t>
      </w:r>
    </w:p>
    <w:p>
      <w:pPr>
        <w:numPr>
          <w:ilvl w:val="0"/>
          <w:numId w:val="1002"/>
        </w:numPr>
        <w:pStyle w:val="Compact"/>
      </w:pPr>
      <w:r>
        <w:rPr>
          <w:bCs/>
          <w:b/>
        </w:rPr>
        <w:t xml:space="preserve">Government Entities:</w:t>
      </w:r>
      <w:r>
        <w:t xml:space="preserve"> </w:t>
      </w:r>
      <w:r>
        <w:t xml:space="preserve">Ministry of Municipal Affairs, Qatari Diwan (Royal Court), and Public Works Authority (Ashghal) seeking culturally resonant public infrastructure.</w:t>
      </w:r>
    </w:p>
    <w:p>
      <w:pPr>
        <w:numPr>
          <w:ilvl w:val="0"/>
          <w:numId w:val="1002"/>
        </w:numPr>
        <w:pStyle w:val="Compact"/>
      </w:pPr>
      <w:r>
        <w:rPr>
          <w:bCs/>
          <w:b/>
        </w:rPr>
        <w:t xml:space="preserve">High-Net-Worth Individuals (HNWIs):</w:t>
      </w:r>
      <w:r>
        <w:t xml:space="preserve"> </w:t>
      </w:r>
      <w:r>
        <w:t xml:space="preserve">Qatar-based entrepreneurs and expatriate elites demanding luxury residential solutions that integrate traditional Qatari aesthetics with contemporary living.</w:t>
      </w:r>
    </w:p>
    <w:p>
      <w:pPr>
        <w:numPr>
          <w:ilvl w:val="0"/>
          <w:numId w:val="1002"/>
        </w:numPr>
        <w:pStyle w:val="Compact"/>
      </w:pPr>
      <w:r>
        <w:rPr>
          <w:bCs/>
          <w:b/>
        </w:rPr>
        <w:t xml:space="preserve">Educational &amp; Healthcare Institutions:</w:t>
      </w:r>
      <w:r>
        <w:t xml:space="preserve"> </w:t>
      </w:r>
      <w:r>
        <w:t xml:space="preserve">Universities (e.g., Qatar University) and hospitals expanding under national development plans requiring sustainable campus architecture.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5 major government contracts totaling $45M in the Doha Metropolitan Area</w:t>
      </w:r>
    </w:p>
    <w:p>
      <w:pPr>
        <w:numPr>
          <w:ilvl w:val="0"/>
          <w:numId w:val="1003"/>
        </w:numPr>
        <w:pStyle w:val="Compact"/>
      </w:pPr>
      <w:r>
        <w:t xml:space="preserve">Attain 70% brand recognition among Qatari developers through targeted engagement</w:t>
      </w:r>
    </w:p>
    <w:p>
      <w:pPr>
        <w:numPr>
          <w:ilvl w:val="0"/>
          <w:numId w:val="1003"/>
        </w:numPr>
        <w:pStyle w:val="Compact"/>
      </w:pPr>
      <w:r>
        <w:t xml:space="preserve">Generate 30% of revenue from HNWI residential projects by Year 2</w:t>
      </w:r>
    </w:p>
    <w:p>
      <w:pPr>
        <w:numPr>
          <w:ilvl w:val="0"/>
          <w:numId w:val="1003"/>
        </w:numPr>
        <w:pStyle w:val="Compact"/>
      </w:pPr>
      <w:r>
        <w:t xml:space="preserve">Establish a portfolio featuring at least two LEED Platinum-certified Architect projects in Doha</w:t>
      </w:r>
    </w:p>
    <w:bookmarkEnd w:id="23"/>
    <w:bookmarkStart w:id="27" w:name="X8021cd2cfeba55f120968f6fa1526beb39c6db5"/>
    <w:p>
      <w:pPr>
        <w:pStyle w:val="Heading2"/>
      </w:pPr>
      <w:r>
        <w:t xml:space="preserve">Strategic Marketing Framework: The Qatar Doha Advantage</w:t>
      </w:r>
    </w:p>
    <w:p>
      <w:pPr>
        <w:pStyle w:val="FirstParagraph"/>
      </w:pPr>
      <w:r>
        <w:t xml:space="preserve">This Marketing Plan integrates three pillars uniquely tailored to the Qatari context:</w:t>
      </w:r>
    </w:p>
    <w:bookmarkStart w:id="24" w:name="Xc616e6ccc1f7e2c68afd06f58f85ea5e6800dc2"/>
    <w:p>
      <w:pPr>
        <w:pStyle w:val="Heading3"/>
      </w:pPr>
      <w:r>
        <w:t xml:space="preserve">1. Product Differentiation: Cultural Intelligence as Core Service</w:t>
      </w:r>
    </w:p>
    <w:p>
      <w:pPr>
        <w:pStyle w:val="FirstParagraph"/>
      </w:pPr>
      <w:r>
        <w:t xml:space="preserve">Our Architect services move beyond blueprints by embedding Qatari cultural intelligence at every stage. We deploy in-house "Heritage Integration Teams" trained in Islamic geometry, desert climate-responsive design, and local craftsmanship traditions. For example, all residential projects will incorporate elements like *mashrabiya* screens reinterpreted with modern materials to meet energy efficiency standards. This differentiates us from generic international firms – positioning our Architect practice as the only true partner for authentic Doha architectural excellence.</w:t>
      </w:r>
    </w:p>
    <w:bookmarkEnd w:id="24"/>
    <w:bookmarkStart w:id="25" w:name="X65b6728fd17240d896f7628cb35336b98ad2277"/>
    <w:p>
      <w:pPr>
        <w:pStyle w:val="Heading3"/>
      </w:pPr>
      <w:r>
        <w:t xml:space="preserve">2. Pricing Strategy: Value-Based Alignment with Qatar Vision</w:t>
      </w:r>
    </w:p>
    <w:p>
      <w:pPr>
        <w:pStyle w:val="FirstParagraph"/>
      </w:pPr>
      <w:r>
        <w:t xml:space="preserve">We implement a tiered pricing model reflecting Qatar's development priorities:</w:t>
      </w:r>
    </w:p>
    <w:p>
      <w:pPr>
        <w:numPr>
          <w:ilvl w:val="0"/>
          <w:numId w:val="1004"/>
        </w:numPr>
        <w:pStyle w:val="Compact"/>
      </w:pPr>
      <w:r>
        <w:rPr>
          <w:bCs/>
          <w:b/>
        </w:rPr>
        <w:t xml:space="preserve">Government Tier:</w:t>
      </w:r>
      <w:r>
        <w:t xml:space="preserve"> </w:t>
      </w:r>
      <w:r>
        <w:t xml:space="preserve">Cost-plus contracts with 5% premium for sustainability certifications (aligned with Qatari carbon goals)</w:t>
      </w:r>
    </w:p>
    <w:p>
      <w:pPr>
        <w:numPr>
          <w:ilvl w:val="0"/>
          <w:numId w:val="1004"/>
        </w:numPr>
        <w:pStyle w:val="Compact"/>
      </w:pPr>
      <w:r>
        <w:rPr>
          <w:bCs/>
          <w:b/>
        </w:rPr>
        <w:t xml:space="preserve">HNI Tier:</w:t>
      </w:r>
      <w:r>
        <w:t xml:space="preserve"> </w:t>
      </w:r>
      <w:r>
        <w:t xml:space="preserve">Premium packages including bespoke *falconry* spaces and traditional courtyard designs</w:t>
      </w:r>
    </w:p>
    <w:p>
      <w:pPr>
        <w:numPr>
          <w:ilvl w:val="0"/>
          <w:numId w:val="1004"/>
        </w:numPr>
        <w:pStyle w:val="Compact"/>
      </w:pPr>
      <w:r>
        <w:rPr>
          <w:bCs/>
          <w:b/>
        </w:rPr>
        <w:t xml:space="preserve">Sustainability Add-On:</w:t>
      </w:r>
      <w:r>
        <w:t xml:space="preserve"> </w:t>
      </w:r>
      <w:r>
        <w:t xml:space="preserve">$200/sq.m. fee for LEED Platinum certification support – directly addressing Qatar's 2030 mandate.</w:t>
      </w:r>
    </w:p>
    <w:bookmarkEnd w:id="25"/>
    <w:bookmarkStart w:id="26" w:name="place-promotion-hyper-local-engagement"/>
    <w:p>
      <w:pPr>
        <w:pStyle w:val="Heading3"/>
      </w:pPr>
      <w:r>
        <w:t xml:space="preserve">3. Place &amp; Promotion: Hyper-Local Engagement</w:t>
      </w:r>
    </w:p>
    <w:p>
      <w:pPr>
        <w:pStyle w:val="FirstParagraph"/>
      </w:pPr>
      <w:r>
        <w:t xml:space="preserve">Rather than generic digital campaigns, our Marketing Plan focuses on Qatar Doha-specific channels:</w:t>
      </w:r>
    </w:p>
    <w:p>
      <w:pPr>
        <w:numPr>
          <w:ilvl w:val="0"/>
          <w:numId w:val="1005"/>
        </w:numPr>
        <w:pStyle w:val="Compact"/>
      </w:pPr>
      <w:r>
        <w:rPr>
          <w:bCs/>
          <w:b/>
        </w:rPr>
        <w:t xml:space="preserve">Government Partnership:</w:t>
      </w:r>
      <w:r>
        <w:t xml:space="preserve"> </w:t>
      </w:r>
      <w:r>
        <w:t xml:space="preserve">Exclusive participation in Qatari Ministry of Municipal Affairs' "Sustainable Urban Design" workshops (held quarterly in Doha)</w:t>
      </w:r>
    </w:p>
    <w:p>
      <w:pPr>
        <w:numPr>
          <w:ilvl w:val="0"/>
          <w:numId w:val="1005"/>
        </w:numPr>
        <w:pStyle w:val="Compact"/>
      </w:pPr>
      <w:r>
        <w:rPr>
          <w:bCs/>
          <w:b/>
        </w:rPr>
        <w:t xml:space="preserve">Cultural Sponsorships:</w:t>
      </w:r>
      <w:r>
        <w:t xml:space="preserve"> </w:t>
      </w:r>
      <w:r>
        <w:t xml:space="preserve">Primary sponsor of the Doha International Architecture Festival, featuring our Architect team leading heritage design masterclasses</w:t>
      </w:r>
    </w:p>
    <w:bookmarkEnd w:id="26"/>
    <w:bookmarkEnd w:id="27"/>
    <w:bookmarkStart w:id="28" w:name="Xdd0092c8ca7dd6d7c2144077135be97b28e5dbf"/>
    <w:p>
      <w:pPr>
        <w:pStyle w:val="Heading2"/>
      </w:pPr>
      <w:r>
        <w:t xml:space="preserve">Implementation Timeline: Qatar Doha Development Cycle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Qatar Doha</w:t>
            </w:r>
          </w:p>
        </w:tc>
      </w:tr>
      <w:tr>
        <w:tc>
          <w:tcPr/>
          <w:p>
            <w:pPr>
              <w:pStyle w:val="Compact"/>
              <w:jc w:val="left"/>
            </w:pPr>
            <w:r>
              <w:t xml:space="preserve">Q1 2024</w:t>
            </w:r>
          </w:p>
        </w:tc>
        <w:tc>
          <w:tcPr/>
          <w:p>
            <w:pPr>
              <w:pStyle w:val="Compact"/>
              <w:jc w:val="left"/>
            </w:pPr>
            <w:r>
              <w:t xml:space="preserve">Leverage QDB’s new "Heritage Architecture" grant program; secure initial government pilot project (Doha Waste Management Facility)</w:t>
            </w:r>
          </w:p>
        </w:tc>
      </w:tr>
      <w:tr>
        <w:tc>
          <w:tcPr/>
          <w:p>
            <w:pPr>
              <w:pStyle w:val="Compact"/>
              <w:jc w:val="left"/>
            </w:pPr>
            <w:r>
              <w:t xml:space="preserve">Q3 2024</w:t>
            </w:r>
          </w:p>
        </w:tc>
        <w:tc>
          <w:tcPr/>
          <w:p>
            <w:pPr>
              <w:pStyle w:val="Compact"/>
              <w:jc w:val="left"/>
            </w:pPr>
            <w:r>
              <w:t xml:space="preserve">Present at Qatar Sustainability Summit in Doha; launch HNI portfolio featuring *Al Zubarah*-inspired luxury villas</w:t>
            </w:r>
          </w:p>
        </w:tc>
      </w:tr>
      <w:tr>
        <w:tc>
          <w:tcPr/>
          <w:p>
            <w:pPr>
              <w:pStyle w:val="Compact"/>
              <w:jc w:val="left"/>
            </w:pPr>
            <w:r>
              <w:t xml:space="preserve">Q1 2025</w:t>
            </w:r>
          </w:p>
        </w:tc>
        <w:tc>
          <w:tcPr/>
          <w:p>
            <w:pPr>
              <w:pStyle w:val="Compact"/>
              <w:jc w:val="left"/>
            </w:pPr>
            <w:r>
              <w:t xml:space="preserve">Partner with Qatar University on "Contemporary Islamic Architecture" research initiative – directly embedding our Architect expertise in national education</w:t>
            </w:r>
          </w:p>
        </w:tc>
      </w:tr>
      <w:tr>
        <w:tc>
          <w:tcPr/>
          <w:p>
            <w:pPr>
              <w:pStyle w:val="Compact"/>
              <w:jc w:val="left"/>
            </w:pPr>
            <w:r>
              <w:t xml:space="preserve">Q4 2025</w:t>
            </w:r>
          </w:p>
        </w:tc>
        <w:tc>
          <w:tcPr/>
          <w:p>
            <w:pPr>
              <w:pStyle w:val="Compact"/>
              <w:jc w:val="left"/>
            </w:pPr>
            <w:r>
              <w:t xml:space="preserve">Promote LEED Platinum certified Doha Hospital project as benchmark case study for government clients</w:t>
            </w:r>
          </w:p>
        </w:tc>
      </w:tr>
    </w:tbl>
    <w:bookmarkEnd w:id="28"/>
    <w:bookmarkStart w:id="29" w:name="budget-allocation-strategic-qatar-focus"/>
    <w:p>
      <w:pPr>
        <w:pStyle w:val="Heading2"/>
      </w:pPr>
      <w:r>
        <w:t xml:space="preserve">Budget Allocation: Strategic Qatar Focus</w:t>
      </w:r>
    </w:p>
    <w:p>
      <w:pPr>
        <w:pStyle w:val="FirstParagraph"/>
      </w:pPr>
      <w:r>
        <w:t xml:space="preserve">Total Marketing Budget: $1.8M (Year 1)</w:t>
      </w:r>
    </w:p>
    <w:p>
      <w:pPr>
        <w:numPr>
          <w:ilvl w:val="0"/>
          <w:numId w:val="1006"/>
        </w:numPr>
        <w:pStyle w:val="Compact"/>
      </w:pPr>
      <w:r>
        <w:t xml:space="preserve">65% Government Engagement (Government workshops, SCDEL liaison officers)</w:t>
      </w:r>
    </w:p>
    <w:p>
      <w:pPr>
        <w:numPr>
          <w:ilvl w:val="0"/>
          <w:numId w:val="1006"/>
        </w:numPr>
        <w:pStyle w:val="Compact"/>
      </w:pPr>
      <w:r>
        <w:t xml:space="preserve">20% Cultural Content Production (Doha-focused video series, festival sponsorships)</w:t>
      </w:r>
    </w:p>
    <w:p>
      <w:pPr>
        <w:numPr>
          <w:ilvl w:val="0"/>
          <w:numId w:val="1006"/>
        </w:numPr>
        <w:pStyle w:val="Compact"/>
      </w:pPr>
      <w:r>
        <w:t xml:space="preserve">15% Digital Localization (Arabic-language SEO targeting Doha developers)</w:t>
      </w:r>
    </w:p>
    <w:bookmarkEnd w:id="29"/>
    <w:bookmarkStart w:id="30" w:name="evaluation-control"/>
    <w:p>
      <w:pPr>
        <w:pStyle w:val="Heading2"/>
      </w:pPr>
      <w:r>
        <w:t xml:space="preserve">Evaluation &amp; Control</w:t>
      </w:r>
    </w:p>
    <w:p>
      <w:pPr>
        <w:pStyle w:val="FirstParagraph"/>
      </w:pPr>
      <w:r>
        <w:t xml:space="preserve">We measure success through Qatar-specific KPIs:</w:t>
      </w:r>
    </w:p>
    <w:p>
      <w:pPr>
        <w:numPr>
          <w:ilvl w:val="0"/>
          <w:numId w:val="1007"/>
        </w:numPr>
        <w:pStyle w:val="Compact"/>
      </w:pPr>
      <w:r>
        <w:rPr>
          <w:bCs/>
          <w:b/>
        </w:rPr>
        <w:t xml:space="preserve">Cultural Relevance Score:</w:t>
      </w:r>
      <w:r>
        <w:t xml:space="preserve"> </w:t>
      </w:r>
      <w:r>
        <w:t xml:space="preserve">4.5/5 average client rating on "integration of Qatari heritage" (per annual client surveys)</w:t>
      </w:r>
    </w:p>
    <w:p>
      <w:pPr>
        <w:numPr>
          <w:ilvl w:val="0"/>
          <w:numId w:val="1007"/>
        </w:numPr>
        <w:pStyle w:val="Compact"/>
      </w:pPr>
      <w:r>
        <w:rPr>
          <w:bCs/>
          <w:b/>
        </w:rPr>
        <w:t xml:space="preserve">Government Contract Velocity:</w:t>
      </w:r>
      <w:r>
        <w:t xml:space="preserve"> </w:t>
      </w:r>
      <w:r>
        <w:t xml:space="preserve">Average 90 days from proposal to award (vs. industry average 120+ days)</w:t>
      </w:r>
    </w:p>
    <w:p>
      <w:pPr>
        <w:numPr>
          <w:ilvl w:val="0"/>
          <w:numId w:val="1007"/>
        </w:numPr>
        <w:pStyle w:val="Compact"/>
      </w:pPr>
      <w:r>
        <w:rPr>
          <w:bCs/>
          <w:b/>
        </w:rPr>
        <w:t xml:space="preserve">Doha Market Share:</w:t>
      </w:r>
      <w:r>
        <w:t xml:space="preserve"> </w:t>
      </w:r>
      <w:r>
        <w:t xml:space="preserve">Quarterly tracking via Qatar Real Estate Association reports</w:t>
      </w:r>
    </w:p>
    <w:bookmarkEnd w:id="30"/>
    <w:bookmarkStart w:id="31" w:name="closing-architect-as-national-asset"/>
    <w:p>
      <w:pPr>
        <w:pStyle w:val="Heading2"/>
      </w:pPr>
      <w:r>
        <w:t xml:space="preserve">Closing: Architect as National Asset</w:t>
      </w:r>
    </w:p>
    <w:p>
      <w:pPr>
        <w:pStyle w:val="FirstParagraph"/>
      </w:pPr>
      <w:r>
        <w:t xml:space="preserve">This Marketing Plan positions our Architect firm not merely as a service provider but as an essential catalyst for Doha's architectural identity. By anchoring every strategy in Qatar's Vision 2030 imperatives – sustainability, cultural preservation, and economic diversification – we ensure our brand becomes synonymous with the highest standards of design excellence in Qatar Doha. Our Architect services will define the city’s skyline while honoring its soul, making us the preferred partner for those shaping Doha’s legacy. In a market where generic architecture is abundant but culturally intelligent design is scarce, this Marketing Plan delivers a clear path to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Qatar Doha</dc:title>
  <dc:creator/>
  <dc:language>en</dc:language>
  <cp:keywords/>
  <dcterms:created xsi:type="dcterms:W3CDTF">2026-07-17T03:39:02Z</dcterms:created>
  <dcterms:modified xsi:type="dcterms:W3CDTF">2026-07-17T03:39:02Z</dcterms:modified>
</cp:coreProperties>
</file>

<file path=docProps/custom.xml><?xml version="1.0" encoding="utf-8"?>
<Properties xmlns="http://schemas.openxmlformats.org/officeDocument/2006/custom-properties" xmlns:vt="http://schemas.openxmlformats.org/officeDocument/2006/docPropsVTypes"/>
</file>