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49d3823d07c49a211be06b39bbb8803116d6d76"/>
    <w:p>
      <w:pPr>
        <w:pStyle w:val="Heading1"/>
      </w:pPr>
      <w:r>
        <w:t xml:space="preserve">Comprehensive Marketing Plan for Architect Services: Targeting the Moscow Market, Russia</w:t>
      </w:r>
    </w:p>
    <w:bookmarkStart w:id="20" w:name="executive-summary"/>
    <w:p>
      <w:pPr>
        <w:pStyle w:val="Heading2"/>
      </w:pPr>
      <w:r>
        <w:t xml:space="preserve">Executive Summary</w:t>
      </w:r>
    </w:p>
    <w:p>
      <w:pPr>
        <w:pStyle w:val="FirstParagraph"/>
      </w:pPr>
      <w:r>
        <w:t xml:space="preserve">This Marketing Plan outlines a strategic approach to establish and grow an innovative architectural practice within the competitive landscape of Russia Moscow. Focusing on high-end residential, commercial, and sustainable design solutions, this plan leverages Moscow's unique urban development needs while addressing cultural nuances specific to Russian clients. The primary objective is to position our Architect firm as the premier choice for visionary design in Russia's capital within 24 months, capturing 15% market share among premium architectural services by Year 2.</w:t>
      </w:r>
    </w:p>
    <w:bookmarkEnd w:id="20"/>
    <w:bookmarkStart w:id="21" w:name="market-analysis-russia-moscow-context"/>
    <w:p>
      <w:pPr>
        <w:pStyle w:val="Heading2"/>
      </w:pPr>
      <w:r>
        <w:t xml:space="preserve">Market Analysis: Russia Moscow Context</w:t>
      </w:r>
    </w:p>
    <w:p>
      <w:pPr>
        <w:pStyle w:val="FirstParagraph"/>
      </w:pPr>
      <w:r>
        <w:t xml:space="preserve">Moscow represents one of the world's most dynamic architectural markets, driven by rapid urbanization, luxury real estate demand (78% annual growth in high-end residential projects), and stringent Russian building regulations. Recent government initiatives like "Moscow 2030" prioritize sustainable infrastructure and cultural preservation, creating significant opportunities for forward-thinking Architect firms. However, competitors often lack deep understanding of Moscow's complex regulatory environment (including SNIP standards) and client expectations for seamless project execution within Russia's business culture.</w:t>
      </w:r>
    </w:p>
    <w:p>
      <w:pPr>
        <w:pStyle w:val="BodyText"/>
      </w:pPr>
      <w:r>
        <w:t xml:space="preserve">Key market gaps identified include:</w:t>
      </w:r>
    </w:p>
    <w:p>
      <w:pPr>
        <w:numPr>
          <w:ilvl w:val="0"/>
          <w:numId w:val="1001"/>
        </w:numPr>
        <w:pStyle w:val="Compact"/>
      </w:pPr>
      <w:r>
        <w:t xml:space="preserve">Limited integration of traditional Russian architectural elements with modern sustainable design</w:t>
      </w:r>
    </w:p>
    <w:p>
      <w:pPr>
        <w:numPr>
          <w:ilvl w:val="0"/>
          <w:numId w:val="1001"/>
        </w:numPr>
        <w:pStyle w:val="Compact"/>
      </w:pPr>
      <w:r>
        <w:t xml:space="preserve">Inconsistent communication across multilingual project teams in Russia Moscow</w:t>
      </w:r>
    </w:p>
    <w:p>
      <w:pPr>
        <w:numPr>
          <w:ilvl w:val="0"/>
          <w:numId w:val="1001"/>
        </w:numPr>
        <w:pStyle w:val="Compact"/>
      </w:pPr>
      <w:r>
        <w:t xml:space="preserve">Insufficient focus on post-construction client support in the Russian market</w:t>
      </w:r>
    </w:p>
    <w:bookmarkEnd w:id="21"/>
    <w:bookmarkStart w:id="22" w:name="target-audience-definition"/>
    <w:p>
      <w:pPr>
        <w:pStyle w:val="Heading2"/>
      </w:pPr>
      <w:r>
        <w:t xml:space="preserve">Target Audience Definition</w:t>
      </w:r>
    </w:p>
    <w:p>
      <w:pPr>
        <w:pStyle w:val="FirstParagraph"/>
      </w:pPr>
      <w:r>
        <w:t xml:space="preserve">We target two primary segments within Russia Moscow:</w:t>
      </w:r>
    </w:p>
    <w:p>
      <w:pPr>
        <w:numPr>
          <w:ilvl w:val="0"/>
          <w:numId w:val="1002"/>
        </w:numPr>
        <w:pStyle w:val="Compact"/>
      </w:pPr>
      <w:r>
        <w:rPr>
          <w:bCs/>
          <w:b/>
        </w:rPr>
        <w:t xml:space="preserve">High-Net-Worth Individuals (HNWI):</w:t>
      </w:r>
      <w:r>
        <w:t xml:space="preserve"> </w:t>
      </w:r>
      <w:r>
        <w:t xml:space="preserve">Russian business elites and oligarchs seeking bespoke luxury residences. They prioritize cultural authenticity, security integration, and seamless project management within Moscow's regulatory framework.</w:t>
      </w:r>
    </w:p>
    <w:p>
      <w:pPr>
        <w:numPr>
          <w:ilvl w:val="0"/>
          <w:numId w:val="1002"/>
        </w:numPr>
        <w:pStyle w:val="Compact"/>
      </w:pPr>
      <w:r>
        <w:rPr>
          <w:bCs/>
          <w:b/>
        </w:rPr>
        <w:t xml:space="preserve">Civic &amp; Commercial Developers:</w:t>
      </w:r>
      <w:r>
        <w:t xml:space="preserve"> </w:t>
      </w:r>
      <w:r>
        <w:t xml:space="preserve">Construction firms and real estate developers (e.g., Guta Group, Leningradsky) bidding on Moscow government projects requiring compliance with Russian Federal Law No. 384-FZ on construction standards and environmental regulations.</w:t>
      </w:r>
    </w:p>
    <w:bookmarkEnd w:id="22"/>
    <w:bookmarkStart w:id="23" w:name="marketing-objectives"/>
    <w:p>
      <w:pPr>
        <w:pStyle w:val="Heading2"/>
      </w:pPr>
      <w:r>
        <w:t xml:space="preserve">Marketing Objectives</w:t>
      </w:r>
    </w:p>
    <w:p>
      <w:pPr>
        <w:pStyle w:val="FirstParagraph"/>
      </w:pPr>
      <w:r>
        <w:t xml:space="preserve">Within 18-24 months, we will achieve:</w:t>
      </w:r>
    </w:p>
    <w:p>
      <w:pPr>
        <w:numPr>
          <w:ilvl w:val="0"/>
          <w:numId w:val="1003"/>
        </w:numPr>
        <w:pStyle w:val="Compact"/>
      </w:pPr>
      <w:r>
        <w:t xml:space="preserve">Secure 50+ high-value contracts (avg. $500K+ per project) in Russia Moscow</w:t>
      </w:r>
    </w:p>
    <w:p>
      <w:pPr>
        <w:numPr>
          <w:ilvl w:val="0"/>
          <w:numId w:val="1003"/>
        </w:numPr>
        <w:pStyle w:val="Compact"/>
      </w:pPr>
      <w:r>
        <w:t xml:space="preserve">Attain 90% client retention rate through exceptional post-project support</w:t>
      </w:r>
    </w:p>
    <w:p>
      <w:pPr>
        <w:numPr>
          <w:ilvl w:val="0"/>
          <w:numId w:val="1003"/>
        </w:numPr>
        <w:pStyle w:val="Compact"/>
      </w:pPr>
      <w:r>
        <w:t xml:space="preserve">Capture 12% market share in premium architectural services within Moscow</w:t>
      </w:r>
    </w:p>
    <w:p>
      <w:pPr>
        <w:numPr>
          <w:ilvl w:val="0"/>
          <w:numId w:val="1003"/>
        </w:numPr>
        <w:pStyle w:val="Compact"/>
      </w:pPr>
      <w:r>
        <w:t xml:space="preserve">Build brand recognition as the top Architect choice for sustainable design in Russia, evidenced by 30+ media placements annually</w:t>
      </w:r>
    </w:p>
    <w:bookmarkEnd w:id="23"/>
    <w:bookmarkStart w:id="27" w:name="strategic-marketing-framework"/>
    <w:p>
      <w:pPr>
        <w:pStyle w:val="Heading2"/>
      </w:pPr>
      <w:r>
        <w:t xml:space="preserve">Strategic Marketing Framework</w:t>
      </w:r>
    </w:p>
    <w:bookmarkStart w:id="24" w:name="X9d2fec19c1ca8ec96e708e768ef529b3be72049"/>
    <w:p>
      <w:pPr>
        <w:pStyle w:val="Heading3"/>
      </w:pPr>
      <w:r>
        <w:t xml:space="preserve">Product Differentiation: The Architect Advantage in Russia Moscow</w:t>
      </w:r>
    </w:p>
    <w:p>
      <w:pPr>
        <w:pStyle w:val="FirstParagraph"/>
      </w:pPr>
      <w:r>
        <w:t xml:space="preserve">We position our firm as the only Architect practice offering:</w:t>
      </w:r>
    </w:p>
    <w:p>
      <w:pPr>
        <w:numPr>
          <w:ilvl w:val="0"/>
          <w:numId w:val="1004"/>
        </w:numPr>
        <w:pStyle w:val="Compact"/>
      </w:pPr>
      <w:r>
        <w:rPr>
          <w:bCs/>
          <w:b/>
        </w:rPr>
        <w:t xml:space="preserve">Cultural Integration:</w:t>
      </w:r>
      <w:r>
        <w:t xml:space="preserve"> </w:t>
      </w:r>
      <w:r>
        <w:t xml:space="preserve">Seamless fusion of Russian architectural heritage (e.g., Art Nouveau, Stalinist grandeur) with cutting-edge eco-design principles compliant with Moscow's climate zones.</w:t>
      </w:r>
    </w:p>
    <w:p>
      <w:pPr>
        <w:numPr>
          <w:ilvl w:val="0"/>
          <w:numId w:val="1004"/>
        </w:numPr>
        <w:pStyle w:val="Compact"/>
      </w:pPr>
      <w:r>
        <w:rPr>
          <w:bCs/>
          <w:b/>
        </w:rPr>
        <w:t xml:space="preserve">Regulatory Mastery:</w:t>
      </w:r>
      <w:r>
        <w:t xml:space="preserve"> </w:t>
      </w:r>
      <w:r>
        <w:t xml:space="preserve">Dedicated Russia Moscow compliance team certified in all federal and municipal building codes, eliminating project delays common in this market.</w:t>
      </w:r>
    </w:p>
    <w:p>
      <w:pPr>
        <w:numPr>
          <w:ilvl w:val="0"/>
          <w:numId w:val="1004"/>
        </w:numPr>
        <w:pStyle w:val="Compact"/>
      </w:pPr>
      <w:r>
        <w:rPr>
          <w:bCs/>
          <w:b/>
        </w:rPr>
        <w:t xml:space="preserve">End-to-End Service:</w:t>
      </w:r>
      <w:r>
        <w:t xml:space="preserve"> </w:t>
      </w:r>
      <w:r>
        <w:t xml:space="preserve">All-inclusive support from initial concept through post-construction maintenance, addressing the critical gap in local Architect offerings.</w:t>
      </w:r>
    </w:p>
    <w:bookmarkEnd w:id="24"/>
    <w:bookmarkStart w:id="25" w:name="X36b74198d6640a6828f45b5e854ceb68c85278a"/>
    <w:p>
      <w:pPr>
        <w:pStyle w:val="Heading3"/>
      </w:pPr>
      <w:r>
        <w:t xml:space="preserve">Digital &amp; Traditional Tactics for Russia Moscow</w:t>
      </w:r>
    </w:p>
    <w:p>
      <w:pPr>
        <w:pStyle w:val="FirstParagraph"/>
      </w:pPr>
      <w:r>
        <w:rPr>
          <w:bCs/>
          <w:b/>
        </w:rPr>
        <w:t xml:space="preserve">Local Digital Strategy:</w:t>
      </w:r>
    </w:p>
    <w:p>
      <w:pPr>
        <w:numPr>
          <w:ilvl w:val="0"/>
          <w:numId w:val="1005"/>
        </w:numPr>
        <w:pStyle w:val="Compact"/>
      </w:pPr>
      <w:r>
        <w:t xml:space="preserve">Launch Russian-language website with Moscow-specific case studies (e.g., "Moscow Luxury Penthouse: Integrating Art Deco with Solar Efficiency")</w:t>
      </w:r>
    </w:p>
    <w:p>
      <w:pPr>
        <w:numPr>
          <w:ilvl w:val="0"/>
          <w:numId w:val="1005"/>
        </w:numPr>
        <w:pStyle w:val="Compact"/>
      </w:pPr>
      <w:r>
        <w:t xml:space="preserve">Geo-targeted LinkedIn campaigns focusing on Moscow business leaders using keywords like "Architect Moscow," "Russia sustainable design"</w:t>
      </w:r>
    </w:p>
    <w:p>
      <w:pPr>
        <w:numPr>
          <w:ilvl w:val="0"/>
          <w:numId w:val="1005"/>
        </w:numPr>
        <w:pStyle w:val="Compact"/>
      </w:pPr>
      <w:r>
        <w:t xml:space="preserve">Partnerships with local platforms: Yandex Market (for lead generation), Domofond.ru (real estate portal) for featured project listings</w:t>
      </w:r>
    </w:p>
    <w:p>
      <w:pPr>
        <w:pStyle w:val="FirstParagraph"/>
      </w:pPr>
      <w:r>
        <w:rPr>
          <w:bCs/>
          <w:b/>
        </w:rPr>
        <w:t xml:space="preserve">On-Ground Presence in Russia Moscow:</w:t>
      </w:r>
    </w:p>
    <w:p>
      <w:pPr>
        <w:numPr>
          <w:ilvl w:val="0"/>
          <w:numId w:val="1006"/>
        </w:numPr>
        <w:pStyle w:val="Compact"/>
      </w:pPr>
      <w:r>
        <w:t xml:space="preserve">Host quarterly "Moscow Design Dialogues" at premium venues (e.g., The State Hermitage Museum, Moscow City complex) featuring guest speakers from Russian Academy of Architecture</w:t>
      </w:r>
    </w:p>
    <w:p>
      <w:pPr>
        <w:numPr>
          <w:ilvl w:val="0"/>
          <w:numId w:val="1006"/>
        </w:numPr>
        <w:pStyle w:val="Compact"/>
      </w:pPr>
      <w:r>
        <w:t xml:space="preserve">Exclusive collaborations with high-end Russian interior designers (e.g., Krasnova Interiors) for co-branded luxury projects</w:t>
      </w:r>
    </w:p>
    <w:p>
      <w:pPr>
        <w:numPr>
          <w:ilvl w:val="0"/>
          <w:numId w:val="1006"/>
        </w:numPr>
        <w:pStyle w:val="Compact"/>
      </w:pPr>
      <w:r>
        <w:t xml:space="preserve">Sponsor key Moscow events: EXPO 2024 Urban Development Summit, Moscow International Building Fair</w:t>
      </w:r>
    </w:p>
    <w:bookmarkEnd w:id="25"/>
    <w:bookmarkStart w:id="26" w:name="brand-messaging-for-russian-clients"/>
    <w:p>
      <w:pPr>
        <w:pStyle w:val="Heading3"/>
      </w:pPr>
      <w:r>
        <w:t xml:space="preserve">Brand Messaging for Russian Clients</w:t>
      </w:r>
    </w:p>
    <w:p>
      <w:pPr>
        <w:pStyle w:val="FirstParagraph"/>
      </w:pPr>
      <w:r>
        <w:t xml:space="preserve">All communications emphasize trust and cultural fluency:</w:t>
      </w:r>
    </w:p>
    <w:p>
      <w:pPr>
        <w:pStyle w:val="BlockText"/>
      </w:pPr>
      <w:r>
        <w:t xml:space="preserve">"We don't just design buildings in Russia Moscow—we architect legacies that honor your heritage while pioneering tomorrow's skyline. Our Architect team speaks Russian, understands Moscow's soul, and navigates every regulation with precision."</w:t>
      </w:r>
    </w:p>
    <w:bookmarkEnd w:id="26"/>
    <w:bookmarkEnd w:id="27"/>
    <w:bookmarkStart w:id="28" w:name="budget-allocation"/>
    <w:p>
      <w:pPr>
        <w:pStyle w:val="Heading2"/>
      </w:pPr>
      <w:r>
        <w:t xml:space="preserve">Budget Allocation</w:t>
      </w:r>
    </w:p>
    <w:p>
      <w:pPr>
        <w:pStyle w:val="FirstParagraph"/>
      </w:pPr>
      <w:r>
        <w:t xml:space="preserve">Total Year 1 Budget: $450,000 (USD) allocated as follows:</w:t>
      </w:r>
    </w:p>
    <w:p>
      <w:pPr>
        <w:pStyle w:val="BodyText"/>
      </w:pPr>
      <w:r>
        <w:t xml:space="preserve">Category</w:t>
      </w:r>
    </w:p>
    <w:p>
      <w:pPr>
        <w:pStyle w:val="BodyText"/>
      </w:pPr>
      <w:r>
        <w:t xml:space="preserve">Allocation</w:t>
      </w:r>
    </w:p>
    <w:p>
      <w:pPr>
        <w:pStyle w:val="BodyText"/>
      </w:pPr>
      <w:r>
        <w:t xml:space="preserve">Purpose in Russia Moscow Context</w:t>
      </w:r>
    </w:p>
    <w:p>
      <w:pPr>
        <w:pStyle w:val="BodyText"/>
      </w:pPr>
      <w:r>
        <w:t xml:space="preserve">Digital Marketing (Yandex, LinkedIn)</w:t>
      </w:r>
    </w:p>
    <w:p>
      <w:pPr>
        <w:pStyle w:val="BodyText"/>
      </w:pPr>
      <w:r>
        <w:t xml:space="preserve">$120,000</w:t>
      </w:r>
    </w:p>
    <w:p>
      <w:pPr>
        <w:pStyle w:val="BodyText"/>
      </w:pPr>
      <w:r>
        <w:t xml:space="preserve">Targeting Moscow decision-makers with Russian-language content and geo-fencing</w:t>
      </w:r>
    </w:p>
    <w:p>
      <w:pPr>
        <w:pStyle w:val="BodyText"/>
      </w:pPr>
      <w:r>
        <w:t xml:space="preserve">Local Events &amp; Sponsorships</w:t>
      </w:r>
    </w:p>
    <w:p>
      <w:pPr>
        <w:pStyle w:val="BodyText"/>
      </w:pPr>
      <w:r>
        <w:t xml:space="preserve">$150,000</w:t>
      </w:r>
    </w:p>
    <w:p>
      <w:pPr>
        <w:pStyle w:val="BodyText"/>
      </w:pPr>
      <w:r>
        <w:t xml:space="preserve">Establishing credibility at Moscow industry events and networking hubs</w:t>
      </w:r>
    </w:p>
    <w:p>
      <w:pPr>
        <w:pStyle w:val="BodyText"/>
      </w:pPr>
      <w:r>
        <w:t xml:space="preserve">Content Creation (Russian Case Studies)</w:t>
      </w:r>
    </w:p>
    <w:p>
      <w:pPr>
        <w:pStyle w:val="BodyText"/>
      </w:pPr>
      <w:r>
        <w:t xml:space="preserve">$85,000</w:t>
      </w:r>
    </w:p>
    <w:p>
      <w:pPr>
        <w:pStyle w:val="BodyText"/>
      </w:pPr>
      <w:r>
        <w:t xml:space="preserve">Showcasing successful projects meeting Russia's specific standards</w:t>
      </w:r>
    </w:p>
    <w:p>
      <w:pPr>
        <w:pStyle w:val="BodyText"/>
      </w:pPr>
      <w:r>
        <w:t xml:space="preserve">Compliance &amp; Regulatory Team</w:t>
      </w:r>
    </w:p>
    <w:p>
      <w:pPr>
        <w:pStyle w:val="BodyText"/>
      </w:pPr>
      <w:r>
        <w:t xml:space="preserve">$75,000</w:t>
      </w:r>
    </w:p>
    <w:p>
      <w:pPr>
        <w:pStyle w:val="BodyText"/>
      </w:pPr>
      <w:r>
        <w:t xml:space="preserve">Hiring Russian-certified legal/technical staff for Moscow operations</w:t>
      </w:r>
    </w:p>
    <w:bookmarkEnd w:id="28"/>
    <w:bookmarkStart w:id="29" w:name="Xbd236a9c5db84eb3ae122decd7974f830e0c190"/>
    <w:p>
      <w:pPr>
        <w:pStyle w:val="Heading2"/>
      </w:pPr>
      <w:r>
        <w:t xml:space="preserve">Implementation Timeline (Russia Moscow Focus)</w:t>
      </w:r>
    </w:p>
    <w:p>
      <w:pPr>
        <w:pStyle w:val="FirstParagraph"/>
      </w:pPr>
      <w:r>
        <w:rPr>
          <w:bCs/>
          <w:b/>
        </w:rPr>
        <w:t xml:space="preserve">Months 1-3:</w:t>
      </w:r>
      <w:r>
        <w:t xml:space="preserve"> </w:t>
      </w:r>
      <w:r>
        <w:t xml:space="preserve">Establish Moscow office with local compliance team; launch Russian-language digital assets.</w:t>
      </w:r>
    </w:p>
    <w:p>
      <w:pPr>
        <w:pStyle w:val="BodyText"/>
      </w:pPr>
      <w:r>
        <w:rPr>
          <w:bCs/>
          <w:b/>
        </w:rPr>
        <w:t xml:space="preserve">Months 4-6:</w:t>
      </w:r>
      <w:r>
        <w:t xml:space="preserve"> </w:t>
      </w:r>
      <w:r>
        <w:t xml:space="preserve">Host first "Moscow Design Dialogue" at Gorky Park; secure partnerships with 2 leading Moscow developers.</w:t>
      </w:r>
    </w:p>
    <w:p>
      <w:pPr>
        <w:pStyle w:val="BodyText"/>
      </w:pPr>
      <w:r>
        <w:rPr>
          <w:bCs/>
          <w:b/>
        </w:rPr>
        <w:t xml:space="preserve">Months 7-12:</w:t>
      </w:r>
      <w:r>
        <w:t xml:space="preserve"> </w:t>
      </w:r>
      <w:r>
        <w:t xml:space="preserve">Execute flagship project (e.g., eco-residential complex in Krasnogorsk); achieve 30% market recognition in target segments.</w:t>
      </w:r>
    </w:p>
    <w:p>
      <w:pPr>
        <w:pStyle w:val="BodyText"/>
      </w:pPr>
      <w:r>
        <w:rPr>
          <w:bCs/>
          <w:b/>
        </w:rPr>
        <w:t xml:space="preserve">Year 2:</w:t>
      </w:r>
      <w:r>
        <w:t xml:space="preserve"> </w:t>
      </w:r>
      <w:r>
        <w:t xml:space="preserve">Expand to secondary Moscow neighborhoods (Zamoskvorechye, Tverskoy); publish first Russia-specific architectural guidebook.</w:t>
      </w:r>
    </w:p>
    <w:bookmarkEnd w:id="29"/>
    <w:bookmarkStart w:id="30" w:name="evaluation-metrics"/>
    <w:p>
      <w:pPr>
        <w:pStyle w:val="Heading2"/>
      </w:pPr>
      <w:r>
        <w:t xml:space="preserve">Evaluation Metrics</w:t>
      </w:r>
    </w:p>
    <w:p>
      <w:pPr>
        <w:pStyle w:val="FirstParagraph"/>
      </w:pPr>
      <w:r>
        <w:t xml:space="preserve">We measure success through Moscow-specific KPIs:</w:t>
      </w:r>
    </w:p>
    <w:p>
      <w:pPr>
        <w:numPr>
          <w:ilvl w:val="0"/>
          <w:numId w:val="1007"/>
        </w:numPr>
        <w:pStyle w:val="Compact"/>
      </w:pPr>
      <w:r>
        <w:rPr>
          <w:bCs/>
          <w:b/>
        </w:rPr>
        <w:t xml:space="preserve">Market Penetration Rate:</w:t>
      </w:r>
      <w:r>
        <w:t xml:space="preserve"> </w:t>
      </w:r>
      <w:r>
        <w:t xml:space="preserve">Track against Moscow Architect Association data quarterly</w:t>
      </w:r>
    </w:p>
    <w:p>
      <w:pPr>
        <w:numPr>
          <w:ilvl w:val="0"/>
          <w:numId w:val="1007"/>
        </w:numPr>
        <w:pStyle w:val="Compact"/>
      </w:pPr>
      <w:r>
        <w:rPr>
          <w:bCs/>
          <w:b/>
        </w:rPr>
        <w:t xml:space="preserve">Cultural Alignment Score:</w:t>
      </w:r>
      <w:r>
        <w:t xml:space="preserve"> </w:t>
      </w:r>
      <w:r>
        <w:t xml:space="preserve">Client satisfaction surveys measuring "understanding of Russian design values" (target: 4.7/5)</w:t>
      </w:r>
    </w:p>
    <w:p>
      <w:pPr>
        <w:numPr>
          <w:ilvl w:val="0"/>
          <w:numId w:val="1007"/>
        </w:numPr>
        <w:pStyle w:val="Compact"/>
      </w:pPr>
      <w:r>
        <w:rPr>
          <w:bCs/>
          <w:b/>
        </w:rPr>
        <w:t xml:space="preserve">Regulatory Efficiency:</w:t>
      </w:r>
      <w:r>
        <w:t xml:space="preserve"> </w:t>
      </w:r>
      <w:r>
        <w:t xml:space="preserve">Project timeline variance from Moscow standard benchmarks (target: ≤2% delay)</w:t>
      </w:r>
    </w:p>
    <w:bookmarkEnd w:id="30"/>
    <w:bookmarkStart w:id="31" w:name="conclusion"/>
    <w:p>
      <w:pPr>
        <w:pStyle w:val="Heading2"/>
      </w:pPr>
      <w:r>
        <w:t xml:space="preserve">Conclusion</w:t>
      </w:r>
    </w:p>
    <w:p>
      <w:pPr>
        <w:pStyle w:val="FirstParagraph"/>
      </w:pPr>
      <w:r>
        <w:t xml:space="preserve">This Marketing Plan delivers a tailored strategy for Architect success in Russia Moscow by transforming market gaps into competitive advantages. By embedding cultural expertise, regulatory mastery, and Moscow-specific service excellence at every touchpoint, we will redefine what it means to be an Architect in Russia's most demanding city. This is not merely a plan—it's the blueprint for becoming the architect of choice for Moscow's next architectural era.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Russia Moscow</dc:title>
  <dc:creator/>
  <dc:language>en</dc:language>
  <cp:keywords/>
  <dcterms:created xsi:type="dcterms:W3CDTF">2026-07-21T04:11:29Z</dcterms:created>
  <dcterms:modified xsi:type="dcterms:W3CDTF">2026-07-21T04:11:29Z</dcterms:modified>
</cp:coreProperties>
</file>

<file path=docProps/custom.xml><?xml version="1.0" encoding="utf-8"?>
<Properties xmlns="http://schemas.openxmlformats.org/officeDocument/2006/custom-properties" xmlns:vt="http://schemas.openxmlformats.org/officeDocument/2006/docPropsVTypes"/>
</file>