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60b93d2bec7541739140ecc76455b4d82a376b7"/>
    <w:p>
      <w:pPr>
        <w:pStyle w:val="Heading1"/>
      </w:pPr>
      <w:r>
        <w:t xml:space="preserve">Comprehensive Marketing Plan for Architect Services in Dakar, Senegal</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firm in Dakar, Senegal. As urbanization accelerates across West Africa, the demand for innovative, culturally sensitive architecture has never been higher. Our firm positions itself as the premier Architect in Senegal Dakar, delivering sustainable designs that honor local traditions while meeting modern functional needs. This plan details market entry strategies targeting Dakar's booming real estate sector, with specific tactics to capture 15% market share within three years through culturally resonant marketing initiatives.</w:t>
      </w:r>
    </w:p>
    <w:bookmarkEnd w:id="20"/>
    <w:bookmarkStart w:id="21" w:name="X51db40d6e9730770339db9733afedfe568c1bce"/>
    <w:p>
      <w:pPr>
        <w:pStyle w:val="Heading2"/>
      </w:pPr>
      <w:r>
        <w:t xml:space="preserve">Market Analysis: Dakar and Senegal Context</w:t>
      </w:r>
    </w:p>
    <w:p>
      <w:pPr>
        <w:pStyle w:val="FirstParagraph"/>
      </w:pPr>
      <w:r>
        <w:t xml:space="preserve">Dakar, the capital of Senegal, is experiencing unprecedented urban growth (projected at 4.5% annual GDP increase) driven by infrastructure investments like the Diamniadio Lake City project and increased foreign direct investment. The construction sector represents 10% of Senegal's GDP, with Dakar absorbing 65% of national architectural demand. Current market gaps include: limited local Architect firms specializing in climate-responsive design (critical for Dakar's tropical climate), underdeveloped sustainable building practices, and poor digital presence among established firms. The government's "Dakar 2030" urban development plan prioritizes green infrastructure, creating an ideal opportunity for forward-thinking Architect services.</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High-Net-Worth Individuals</w:t>
      </w:r>
      <w:r>
        <w:t xml:space="preserve">: Affluent residents seeking luxury residential projects with cultural authenticity (e.g., traditional *mousquetaire* elements integrated into modern villas)</w:t>
      </w:r>
    </w:p>
    <w:p>
      <w:pPr>
        <w:numPr>
          <w:ilvl w:val="0"/>
          <w:numId w:val="1001"/>
        </w:numPr>
        <w:pStyle w:val="Compact"/>
      </w:pPr>
      <w:r>
        <w:rPr>
          <w:bCs/>
          <w:b/>
        </w:rPr>
        <w:t xml:space="preserve">Real Estate Developers</w:t>
      </w:r>
      <w:r>
        <w:t xml:space="preserve">: Companies like Bolloré and Groupe SIFAC requiring scalable, sustainable commercial designs for Dakar's expanding urban zones</w:t>
      </w:r>
    </w:p>
    <w:p>
      <w:pPr>
        <w:numPr>
          <w:ilvl w:val="0"/>
          <w:numId w:val="1001"/>
        </w:numPr>
        <w:pStyle w:val="Compact"/>
      </w:pPr>
      <w:r>
        <w:t xml:space="preserve">Government Entities: Municipal authorities managing public infrastructure projects under Dakar's "Smart City" initiative</w:t>
      </w:r>
    </w:p>
    <w:p>
      <w:pPr>
        <w:pStyle w:val="FirstParagraph"/>
      </w:pPr>
      <w:r>
        <w:t xml:space="preserve">Secondary audiences include international NGOs (e.g., UN-Habitat) and educational institutions expanding campuses. All target groups prioritize Architect firms with local regulatory expertise and climate adaptation knowledge.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40+ high-value contracts (min. $50,000 each) from target segments</w:t>
      </w:r>
    </w:p>
    <w:p>
      <w:pPr>
        <w:numPr>
          <w:ilvl w:val="0"/>
          <w:numId w:val="1002"/>
        </w:numPr>
        <w:pStyle w:val="Compact"/>
      </w:pPr>
      <w:r>
        <w:t xml:space="preserve">Attain 75% brand recognition among Dakar-based developers through targeted outreach</w:t>
      </w:r>
    </w:p>
    <w:p>
      <w:pPr>
        <w:numPr>
          <w:ilvl w:val="0"/>
          <w:numId w:val="1002"/>
        </w:numPr>
        <w:pStyle w:val="Compact"/>
      </w:pPr>
      <w:r>
        <w:t xml:space="preserve">Generate 65% of leads via digital channels (vs. industry average of 32%)</w:t>
      </w:r>
    </w:p>
    <w:p>
      <w:pPr>
        <w:numPr>
          <w:ilvl w:val="0"/>
          <w:numId w:val="1002"/>
        </w:numPr>
        <w:pStyle w:val="Compact"/>
      </w:pPr>
      <w:r>
        <w:t xml:space="preserve">Establish partnerships with 3 key Senegal Dakar institutions (e.g., University Cheikh Anta Diop)</w:t>
      </w:r>
    </w:p>
    <w:bookmarkEnd w:id="23"/>
    <w:bookmarkStart w:id="24" w:name="marketing-strategies-and-tactics"/>
    <w:p>
      <w:pPr>
        <w:pStyle w:val="Heading2"/>
      </w:pPr>
      <w:r>
        <w:t xml:space="preserve">Marketing Strategies and Tactics</w:t>
      </w:r>
    </w:p>
    <w:p>
      <w:pPr>
        <w:pStyle w:val="FirstParagraph"/>
      </w:pPr>
      <w:r>
        <w:rPr>
          <w:bCs/>
          <w:b/>
        </w:rPr>
        <w:t xml:space="preserve">Cultural Integration Strategy:</w:t>
      </w:r>
      <w:r>
        <w:t xml:space="preserve"> </w:t>
      </w:r>
      <w:r>
        <w:t xml:space="preserve">Our Architect approach uniquely combines Wolof architectural heritage with contemporary sustainability. This differentiates us from foreign firms that ignore local context. Marketing materials will feature projects like "Adapted Courtyard Houses" that use passive cooling techniques referenced in Senegalese vernacular architecture, explicitly marketed as "Architect Solutions Rooted in Dakar's Soul."</w:t>
      </w:r>
    </w:p>
    <w:p>
      <w:pPr>
        <w:pStyle w:val="BodyText"/>
      </w:pPr>
      <w:r>
        <w:rPr>
          <w:bCs/>
          <w:b/>
        </w:rPr>
        <w:t xml:space="preserve">Digital Presence Enhancement:</w:t>
      </w:r>
      <w:r>
        <w:t xml:space="preserve"> </w:t>
      </w:r>
      <w:r>
        <w:t xml:space="preserve">A localized website (www.architectdakar.sn) with French/English/Wolof interface will showcase 3D visualizations of completed projects. We'll leverage Instagram and LinkedIn for Senegal Dakar architectural trends, using hashtags like #DakarDesign and #SenegaleseArchitecture. Targeted ads will focus on Dakar zip codes (10001-25056) with content addressing local pain points: "How Our Architect Team Solves Flooding in Fann District."</w:t>
      </w:r>
    </w:p>
    <w:p>
      <w:pPr>
        <w:pStyle w:val="BodyText"/>
      </w:pPr>
      <w:r>
        <w:rPr>
          <w:bCs/>
          <w:b/>
        </w:rPr>
        <w:t xml:space="preserve">Community Engagement:</w:t>
      </w:r>
      <w:r>
        <w:t xml:space="preserve"> </w:t>
      </w:r>
      <w:r>
        <w:t xml:space="preserve">We'll sponsor the annual Dakar Architecture Week, hosting workshops at the Théâtre de la Ville. These events will position our firm as a thought leader through sessions like "Modernizing Traditional Dakar Housing for Climate Resilience." Each event includes free site assessments for community projects—demonstrating value while generating leads.</w:t>
      </w:r>
    </w:p>
    <w:p>
      <w:pPr>
        <w:pStyle w:val="BodyText"/>
      </w:pPr>
      <w:r>
        <w:rPr>
          <w:bCs/>
          <w:b/>
        </w:rPr>
        <w:t xml:space="preserve">Strategic Partnerships:</w:t>
      </w:r>
      <w:r>
        <w:t xml:space="preserve"> </w:t>
      </w:r>
      <w:r>
        <w:t xml:space="preserve">Collaborations with Senegal Dakar-based entities are critical. We'll partner with the Association des Architectes du Sénégal (AAS) for co-branded seminars on building codes, and with the Dakar Chamber of Commerce to sponsor a "Green Construction Award" recognizing local Architect excellence. This builds credibility within Senegal's professional ecosystem.</w:t>
      </w:r>
    </w:p>
    <w:bookmarkEnd w:id="24"/>
    <w:bookmarkStart w:id="25" w:name="budget-allocation"/>
    <w:p>
      <w:pPr>
        <w:pStyle w:val="Heading2"/>
      </w:pPr>
      <w:r>
        <w:t xml:space="preserve">Budget Allocation</w:t>
      </w:r>
    </w:p>
    <w:p>
      <w:pPr>
        <w:pStyle w:val="FirstParagraph"/>
      </w:pPr>
      <w:r>
        <w:t xml:space="preserve">Initial investment: $45,000 (Year 1)</w:t>
      </w:r>
    </w:p>
    <w:p>
      <w:pPr>
        <w:numPr>
          <w:ilvl w:val="0"/>
          <w:numId w:val="1003"/>
        </w:numPr>
        <w:pStyle w:val="Compact"/>
      </w:pPr>
      <w:r>
        <w:t xml:space="preserve">Website/Content Development: $12,000</w:t>
      </w:r>
    </w:p>
    <w:p>
      <w:pPr>
        <w:numPr>
          <w:ilvl w:val="0"/>
          <w:numId w:val="1003"/>
        </w:numPr>
        <w:pStyle w:val="Compact"/>
      </w:pPr>
      <w:r>
        <w:t xml:space="preserve">Digital Advertising (Dakar-focused): $18,000</w:t>
      </w:r>
    </w:p>
    <w:p>
      <w:pPr>
        <w:numPr>
          <w:ilvl w:val="0"/>
          <w:numId w:val="1003"/>
        </w:numPr>
        <w:pStyle w:val="Compact"/>
      </w:pPr>
      <w:r>
        <w:t xml:space="preserve">Event Sponsorships &amp; Workshops: $9,500</w:t>
      </w:r>
    </w:p>
    <w:p>
      <w:pPr>
        <w:numPr>
          <w:ilvl w:val="0"/>
          <w:numId w:val="1003"/>
        </w:numPr>
        <w:pStyle w:val="Compact"/>
      </w:pPr>
      <w:r>
        <w:t xml:space="preserve">Partnership Development: $5,500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platform; complete partnership agreements with AAS and Dakar Chamber of Commerce. Host first community workshop in Fann District.</w:t>
      </w:r>
    </w:p>
    <w:p>
      <w:pPr>
        <w:pStyle w:val="BodyText"/>
      </w:pPr>
      <w:r>
        <w:rPr>
          <w:bCs/>
          <w:b/>
        </w:rPr>
        <w:t xml:space="preserve">Months 4-6:</w:t>
      </w:r>
      <w:r>
        <w:t xml:space="preserve"> </w:t>
      </w:r>
      <w:r>
        <w:t xml:space="preserve">Execute targeted Instagram/LinkedIn campaigns; secure first government contract for municipal housing project. Publish case study: "Sustainable Housing Solutions for Dakar's Coastal Challenges."</w:t>
      </w:r>
    </w:p>
    <w:p>
      <w:pPr>
        <w:pStyle w:val="BodyText"/>
      </w:pPr>
      <w:r>
        <w:rPr>
          <w:bCs/>
          <w:b/>
        </w:rPr>
        <w:t xml:space="preserve">Months 7-12:</w:t>
      </w:r>
      <w:r>
        <w:t xml:space="preserve"> </w:t>
      </w:r>
      <w:r>
        <w:t xml:space="preserve">Sponsor Dakar Architecture Week; expand to university partnerships. Achieve 30% lead generation from digital channels.</w:t>
      </w:r>
    </w:p>
    <w:p>
      <w:pPr>
        <w:pStyle w:val="BodyText"/>
      </w:pPr>
      <w:r>
        <w:rPr>
          <w:bCs/>
          <w:b/>
        </w:rPr>
        <w:t xml:space="preserve">Years 2-3:</w:t>
      </w:r>
      <w:r>
        <w:t xml:space="preserve"> </w:t>
      </w:r>
      <w:r>
        <w:t xml:space="preserve">Scale through referral partnerships; develop specialized services (e.g., "Heritage Conservation for Historic Dakar Buildings"). Aim for 15% market share in commercial architecture segment.</w:t>
      </w:r>
    </w:p>
    <w:bookmarkEnd w:id="26"/>
    <w:bookmarkStart w:id="27" w:name="measurement-and-evaluation"/>
    <w:p>
      <w:pPr>
        <w:pStyle w:val="Heading2"/>
      </w:pPr>
      <w:r>
        <w:t xml:space="preserve">Measurement and Evaluation</w:t>
      </w:r>
    </w:p>
    <w:p>
      <w:pPr>
        <w:pStyle w:val="FirstParagraph"/>
      </w:pPr>
      <w:r>
        <w:t xml:space="preserve">We will track success using:</w:t>
      </w:r>
    </w:p>
    <w:p>
      <w:pPr>
        <w:numPr>
          <w:ilvl w:val="0"/>
          <w:numId w:val="1004"/>
        </w:numPr>
        <w:pStyle w:val="Compact"/>
      </w:pPr>
      <w:r>
        <w:rPr>
          <w:bCs/>
          <w:b/>
        </w:rPr>
        <w:t xml:space="preserve">Lead Quality:</w:t>
      </w:r>
      <w:r>
        <w:t xml:space="preserve"> </w:t>
      </w:r>
      <w:r>
        <w:t xml:space="preserve">Conversion rate from digital leads to proposals (target: ≥35%)</w:t>
      </w:r>
    </w:p>
    <w:p>
      <w:pPr>
        <w:numPr>
          <w:ilvl w:val="0"/>
          <w:numId w:val="1004"/>
        </w:numPr>
        <w:pStyle w:val="Compact"/>
      </w:pPr>
      <w:r>
        <w:rPr>
          <w:bCs/>
          <w:b/>
        </w:rPr>
        <w:t xml:space="preserve">Cultural Resonance:</w:t>
      </w:r>
      <w:r>
        <w:t xml:space="preserve"> </w:t>
      </w:r>
      <w:r>
        <w:t xml:space="preserve">Social media sentiment analysis using #DakarDesign mentions</w:t>
      </w:r>
    </w:p>
    <w:p>
      <w:pPr>
        <w:numPr>
          <w:ilvl w:val="0"/>
          <w:numId w:val="1004"/>
        </w:numPr>
        <w:pStyle w:val="Compact"/>
      </w:pPr>
      <w:r>
        <w:rPr>
          <w:bCs/>
          <w:b/>
        </w:rPr>
        <w:t xml:space="preserve">Market Penetration:</w:t>
      </w:r>
      <w:r>
        <w:t xml:space="preserve"> </w:t>
      </w:r>
      <w:r>
        <w:t xml:space="preserve">Quarterly share of voice vs. competitors in Dakar construction publications</w:t>
      </w:r>
    </w:p>
    <w:bookmarkEnd w:id="27"/>
    <w:bookmarkStart w:id="28" w:name="X62e17e8ad052c8caf6c0d692c391874ef8cfbfa"/>
    <w:p>
      <w:pPr>
        <w:pStyle w:val="Heading2"/>
      </w:pPr>
      <w:r>
        <w:t xml:space="preserve">Why This Marketing Plan Succeeds in Senegal Dakar</w:t>
      </w:r>
    </w:p>
    <w:p>
      <w:pPr>
        <w:pStyle w:val="FirstParagraph"/>
      </w:pPr>
      <w:r>
        <w:t xml:space="preserve">This plan directly addresses the unmet needs of Senegal's architectural market through hyper-localized strategies. Unlike generic firms, our Marketing Plan positions the Architect as a cultural partner—not just a service provider. By embedding our brand within Dakar's urban development narrative (e.g., aligning with "Dakar 2030" goals), we build trust faster than international competitors who lack contextual understanding. The emphasis on sustainable design meets Senegal Dakar's pressing climate challenges, making our Architect services not just desirable but essential for future-proofing projects. Every tactic—from Wolof-language content to flood-resilient case studies—reinforces our commitment to Senegal Dakar's unique architectural identity, ensuring long-term relevance in this dynamic market.</w:t>
      </w:r>
    </w:p>
    <w:p>
      <w:pPr>
        <w:pStyle w:val="BodyText"/>
      </w:pPr>
      <w:r>
        <w:t xml:space="preserve">Conclusion: This Marketing Plan delivers a clear, culturally intelligent path for an Architect firm to thrive in Dakar. By merging global best practices with deep Senegalese context, we position ourselves as the definitive choice for clients seeking architecture that reflects Dakar's spirit and future. The plan’s measurable tactics ensure efficient resource allocation toward capturing share in Senegal Dakar's $1.2B annual architecture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Dakar, Senegal</dc:title>
  <dc:creator/>
  <dc:language>en</dc:language>
  <cp:keywords/>
  <dcterms:created xsi:type="dcterms:W3CDTF">2026-07-21T03:47:53Z</dcterms:created>
  <dcterms:modified xsi:type="dcterms:W3CDTF">2026-07-21T03:47:53Z</dcterms:modified>
</cp:coreProperties>
</file>

<file path=docProps/custom.xml><?xml version="1.0" encoding="utf-8"?>
<Properties xmlns="http://schemas.openxmlformats.org/officeDocument/2006/custom-properties" xmlns:vt="http://schemas.openxmlformats.org/officeDocument/2006/docPropsVTypes"/>
</file>