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0" w:name="X2f17126555773160a5c74c9a418181c6dd16030"/>
    <w:p>
      <w:pPr>
        <w:pStyle w:val="Heading1"/>
      </w:pPr>
      <w:r>
        <w:t xml:space="preserve">Comprehensive Marketing Plan for Architectural Practice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an architectural practice within the dynamic urban landscape of Spain Barcelona. As one of Europe's most culturally rich and architecturally significant cities, Barcelona presents unparalleled opportunities for an innovative Architect to thrive. This plan leverages local market insights, cultural nuances, and digital trends specific to Spain Barcelona to position our firm as a leader in sustainable, context-sensitive design solutions. Our strategy focuses on delivering exceptional value for residential, commercial, and heritage projects across the city's diverse neighborhoods—from Eixample's modernist gems to Barri Gòtic's historic charm.</w:t>
      </w:r>
    </w:p>
    <w:bookmarkEnd w:id="20"/>
    <w:bookmarkStart w:id="21" w:name="market-analysis-spain-barcelona-context"/>
    <w:p>
      <w:pPr>
        <w:pStyle w:val="Heading2"/>
      </w:pPr>
      <w:r>
        <w:t xml:space="preserve">Market Analysis: Spain Barcelona Context</w:t>
      </w:r>
    </w:p>
    <w:p>
      <w:pPr>
        <w:pStyle w:val="FirstParagraph"/>
      </w:pPr>
      <w:r>
        <w:t xml:space="preserve">Barcelona’s architectural market is shaped by unique factors: stringent Catalan sustainability regulations (e.g., CTE, DB-HE), a booming tourism-driven real estate sector, and a deep appreciation for design heritage. According to the Barcelona City Council's 2023 Urban Development Report, 35% of construction projects in Spain Barcelona now prioritize energy efficiency certifications (like LEED or BREEAM). The city’s high density also fuels demand for space-efficient solutions in neighborhoods like Poblenou and Sant Antoni. Crucially, Spain’s regulatory environment requires local licensing—our Architect team holds valid MOPU licenses across Catalonia, ensuring seamless project execution. Competitors often overlook cultural sensitivity; we differentiate by integrating Catalan aesthetics (e.g., modernist influences) into contemporary designs, aligning with Barcelona's identity as a UNESCO Creative City.</w:t>
      </w:r>
    </w:p>
    <w:bookmarkEnd w:id="21"/>
    <w:bookmarkStart w:id="22" w:name="target-audience-segmentation"/>
    <w:p>
      <w:pPr>
        <w:pStyle w:val="Heading2"/>
      </w:pPr>
      <w:r>
        <w:t xml:space="preserve">Target Audience Segmentation</w:t>
      </w:r>
    </w:p>
    <w:p>
      <w:pPr>
        <w:pStyle w:val="FirstParagraph"/>
      </w:pPr>
      <w:r>
        <w:t xml:space="preserve">We focus on three high-value segments in Spain Barcelona:</w:t>
      </w:r>
    </w:p>
    <w:p>
      <w:pPr>
        <w:numPr>
          <w:ilvl w:val="0"/>
          <w:numId w:val="1001"/>
        </w:numPr>
        <w:pStyle w:val="Compact"/>
      </w:pPr>
      <w:r>
        <w:rPr>
          <w:bCs/>
          <w:b/>
        </w:rPr>
        <w:t xml:space="preserve">Luxury Residential Clients:</w:t>
      </w:r>
      <w:r>
        <w:t xml:space="preserve"> </w:t>
      </w:r>
      <w:r>
        <w:t xml:space="preserve">Affluent locals and international expats seeking bespoke renovations in historic districts (e.g., Gràcia or El Born). They prioritize design authenticity over cost.</w:t>
      </w:r>
    </w:p>
    <w:p>
      <w:pPr>
        <w:numPr>
          <w:ilvl w:val="0"/>
          <w:numId w:val="1001"/>
        </w:numPr>
        <w:pStyle w:val="Compact"/>
      </w:pPr>
      <w:r>
        <w:rPr>
          <w:bCs/>
          <w:b/>
        </w:rPr>
        <w:t xml:space="preserve">Commercial Developers:</w:t>
      </w:r>
      <w:r>
        <w:t xml:space="preserve"> </w:t>
      </w:r>
      <w:r>
        <w:t xml:space="preserve">Firms targeting Barcelona's expanding hospitality and co-working sectors, requiring compliance with local zoning laws (e.g., LURB regulations).</w:t>
      </w:r>
    </w:p>
    <w:p>
      <w:pPr>
        <w:numPr>
          <w:ilvl w:val="0"/>
          <w:numId w:val="1001"/>
        </w:numPr>
        <w:pStyle w:val="Compact"/>
      </w:pPr>
      <w:r>
        <w:rPr>
          <w:bCs/>
          <w:b/>
        </w:rPr>
        <w:t xml:space="preserve">Heritage Conservation Projects:</w:t>
      </w:r>
      <w:r>
        <w:t xml:space="preserve"> </w:t>
      </w:r>
      <w:r>
        <w:t xml:space="preserve">NGOs and municipal bodies managing protected sites like the Sagrada Família perimeter or Gothic Quarter. These projects demand deep knowledge of Spanish heritage law.</w:t>
      </w:r>
    </w:p>
    <w:bookmarkEnd w:id="22"/>
    <w:bookmarkStart w:id="26" w:name="X04d210f1ae5280cb5e26545eddd9f3a640ff93e"/>
    <w:p>
      <w:pPr>
        <w:pStyle w:val="Heading2"/>
      </w:pPr>
      <w:r>
        <w:t xml:space="preserve">Marketing Strategy: Integrated Localized Approach</w:t>
      </w:r>
    </w:p>
    <w:p>
      <w:pPr>
        <w:pStyle w:val="FirstParagraph"/>
      </w:pPr>
      <w:r>
        <w:t xml:space="preserve">This Marketing Plan employs a three-pillar strategy tailored to Spain Barcelona’s market:</w:t>
      </w:r>
    </w:p>
    <w:bookmarkStart w:id="23" w:name="X16404e73fa181fd309f37f3a7324b76adc2741a"/>
    <w:p>
      <w:pPr>
        <w:pStyle w:val="Heading3"/>
      </w:pPr>
      <w:r>
        <w:t xml:space="preserve">1. Digital Presence with Catalan Cultural Resonance</w:t>
      </w:r>
    </w:p>
    <w:p>
      <w:pPr>
        <w:pStyle w:val="FirstParagraph"/>
      </w:pPr>
      <w:r>
        <w:t xml:space="preserve">We optimize our website for "architect Barcelona" and "sustainable design Spain" keywords, using Spanish and Catalan language options. Our Instagram feed showcases projects like a solar-paneled home in Les Corts (featuring local materials like Montseny stone) to resonate with Barcelona’s design-savvy audience. Collaborations with Catalan influencers (e.g., @BarcelonaDesignBlog) amplify reach organically within Spain’s social ecosystem.</w:t>
      </w:r>
    </w:p>
    <w:bookmarkEnd w:id="23"/>
    <w:bookmarkStart w:id="24" w:name="hyper-local-partnerships"/>
    <w:p>
      <w:pPr>
        <w:pStyle w:val="Heading3"/>
      </w:pPr>
      <w:r>
        <w:t xml:space="preserve">2. Hyper-Local Partnerships</w:t>
      </w:r>
    </w:p>
    <w:p>
      <w:pPr>
        <w:pStyle w:val="FirstParagraph"/>
      </w:pPr>
      <w:r>
        <w:t xml:space="preserve">We partner with key Barcelona institutions: the Barceloneta Chamber of Commerce for client referrals, and the Institute of Catalan Architecture (IBAC) for workshops on sustainable practices. Joint events at La Pedrera or MACBA position our Architect as a cultural leader—not just a service provider. All partnerships emphasize Spain’s commitment to "decarbonized cities," aligning with Barcelona’s 2030 Climate Neutrality Goal.</w:t>
      </w:r>
    </w:p>
    <w:bookmarkEnd w:id="24"/>
    <w:bookmarkStart w:id="25" w:name="community-engagement-thought-leadership"/>
    <w:p>
      <w:pPr>
        <w:pStyle w:val="Heading3"/>
      </w:pPr>
      <w:r>
        <w:t xml:space="preserve">3. Community Engagement &amp; Thought Leadership</w:t>
      </w:r>
    </w:p>
    <w:p>
      <w:pPr>
        <w:pStyle w:val="FirstParagraph"/>
      </w:pPr>
      <w:r>
        <w:t xml:space="preserve">We host quarterly free lectures at Barcelona’s City Hall (Ajuntament de Barcelona) on topics like "Adaptive Reuse in Historic Eixample" or "Energy Retrofitting for Catalan Homes," leveraging Spain's strong public education culture. Our Architect team publishes whitepapers on local challenges (e.g., seismic retrofitting in earthquake-prone zones), distributed via Barcelona’s municipal networks. This builds trust and establishes authority within the Spain Barcelona architectural community.</w:t>
      </w:r>
    </w:p>
    <w:bookmarkEnd w:id="25"/>
    <w:bookmarkEnd w:id="26"/>
    <w:bookmarkStart w:id="27" w:name="budget-allocation-timeline"/>
    <w:p>
      <w:pPr>
        <w:pStyle w:val="Heading2"/>
      </w:pPr>
      <w:r>
        <w:t xml:space="preserve">Budget Allocation &amp; Timeline</w:t>
      </w:r>
    </w:p>
    <w:p>
      <w:pPr>
        <w:pStyle w:val="FirstParagraph"/>
      </w:pPr>
      <w:r>
        <w:t xml:space="preserve">With a total budget of €45,000 for Year 1, we allocate resources as follows:</w:t>
      </w:r>
    </w:p>
    <w:p>
      <w:pPr>
        <w:numPr>
          <w:ilvl w:val="0"/>
          <w:numId w:val="1002"/>
        </w:numPr>
        <w:pStyle w:val="Compact"/>
      </w:pPr>
      <w:r>
        <w:rPr>
          <w:bCs/>
          <w:b/>
        </w:rPr>
        <w:t xml:space="preserve">Digital Marketing (40%):</w:t>
      </w:r>
      <w:r>
        <w:t xml:space="preserve"> </w:t>
      </w:r>
      <w:r>
        <w:t xml:space="preserve">€18,000 for SEO targeting Barcelona-based keywords, Google Ads campaigns in Spanish/Catalan, and Instagram ads focused on neighborhoods like Poble-sec.</w:t>
      </w:r>
    </w:p>
    <w:p>
      <w:pPr>
        <w:numPr>
          <w:ilvl w:val="0"/>
          <w:numId w:val="1002"/>
        </w:numPr>
        <w:pStyle w:val="Compact"/>
      </w:pPr>
      <w:r>
        <w:rPr>
          <w:bCs/>
          <w:b/>
        </w:rPr>
        <w:t xml:space="preserve">Partnerships &amp; Events (35%):</w:t>
      </w:r>
      <w:r>
        <w:t xml:space="preserve"> </w:t>
      </w:r>
      <w:r>
        <w:t xml:space="preserve">€15,750 for venue fees at IBAC events, materials for workshops at Barcelona’s Design Museum (Museu del Disseny), and influencer collaborations.</w:t>
      </w:r>
    </w:p>
    <w:p>
      <w:pPr>
        <w:numPr>
          <w:ilvl w:val="0"/>
          <w:numId w:val="1002"/>
        </w:numPr>
        <w:pStyle w:val="Compact"/>
      </w:pPr>
      <w:r>
        <w:rPr>
          <w:bCs/>
          <w:b/>
        </w:rPr>
        <w:t xml:space="preserve">Content &amp; PR (25%):</w:t>
      </w:r>
      <w:r>
        <w:t xml:space="preserve"> </w:t>
      </w:r>
      <w:r>
        <w:t xml:space="preserve">€11,250 for professional photography of projects in Spain Barcelona, press kits to Catalan media (e.g.,</w:t>
      </w:r>
      <w:r>
        <w:t xml:space="preserve"> </w:t>
      </w:r>
      <w:r>
        <w:rPr>
          <w:iCs/>
          <w:i/>
        </w:rPr>
        <w:t xml:space="preserve">El Periódico de Catalunya</w:t>
      </w:r>
      <w:r>
        <w:t xml:space="preserve">), and a quarterly newsletter highlighting local case studies.</w:t>
      </w:r>
    </w:p>
    <w:p>
      <w:pPr>
        <w:pStyle w:val="FirstParagraph"/>
      </w:pPr>
      <w:r>
        <w:t xml:space="preserve">The plan unfolds over 12 months: Months 1–3 focus on digital foundation; Months 4–6 drive partnerships; Months 7–9 scale community events; Months 10–12 optimize based on KPIs.</w:t>
      </w:r>
    </w:p>
    <w:bookmarkEnd w:id="27"/>
    <w:bookmarkStart w:id="28" w:name="kpis-measurement"/>
    <w:p>
      <w:pPr>
        <w:pStyle w:val="Heading2"/>
      </w:pPr>
      <w:r>
        <w:t xml:space="preserve">KPIs &amp; Measurement</w:t>
      </w:r>
    </w:p>
    <w:p>
      <w:pPr>
        <w:pStyle w:val="FirstParagraph"/>
      </w:pPr>
      <w:r>
        <w:t xml:space="preserve">We track Barcelona-specific success metrics to refine our Marketing Plan:</w:t>
      </w:r>
    </w:p>
    <w:p>
      <w:pPr>
        <w:numPr>
          <w:ilvl w:val="0"/>
          <w:numId w:val="1003"/>
        </w:numPr>
        <w:pStyle w:val="Compact"/>
      </w:pPr>
      <w:r>
        <w:rPr>
          <w:bCs/>
          <w:b/>
        </w:rPr>
        <w:t xml:space="preserve">Lead Generation:</w:t>
      </w:r>
      <w:r>
        <w:t xml:space="preserve"> </w:t>
      </w:r>
      <w:r>
        <w:t xml:space="preserve">30% increase in qualified leads from Spain Barcelona (e.g., inquiries from Eixample or La Dreta de l'Eixample).</w:t>
      </w:r>
    </w:p>
    <w:p>
      <w:pPr>
        <w:numPr>
          <w:ilvl w:val="0"/>
          <w:numId w:val="1003"/>
        </w:numPr>
        <w:pStyle w:val="Compact"/>
      </w:pPr>
      <w:r>
        <w:rPr>
          <w:bCs/>
          <w:b/>
        </w:rPr>
        <w:t xml:space="preserve">Brand Recognition:</w:t>
      </w:r>
      <w:r>
        <w:t xml:space="preserve"> </w:t>
      </w:r>
      <w:r>
        <w:t xml:space="preserve">40% brand recall in local architect surveys (via Barómetre Arquitectura study).</w:t>
      </w:r>
    </w:p>
    <w:p>
      <w:pPr>
        <w:numPr>
          <w:ilvl w:val="0"/>
          <w:numId w:val="1003"/>
        </w:numPr>
        <w:pStyle w:val="Compact"/>
      </w:pPr>
      <w:r>
        <w:rPr>
          <w:bCs/>
          <w:b/>
        </w:rPr>
        <w:t xml:space="preserve">Client Acquisition Cost (CAC):</w:t>
      </w:r>
      <w:r>
        <w:t xml:space="preserve"> </w:t>
      </w:r>
      <w:r>
        <w:t xml:space="preserve">Reduce CAC to €1,200 by Year 2 through targeted local partnerships.</w:t>
      </w:r>
    </w:p>
    <w:p>
      <w:pPr>
        <w:numPr>
          <w:ilvl w:val="0"/>
          <w:numId w:val="1003"/>
        </w:numPr>
        <w:pStyle w:val="Compact"/>
      </w:pPr>
      <w:r>
        <w:rPr>
          <w:bCs/>
          <w:b/>
        </w:rPr>
        <w:t xml:space="preserve">Social Engagement:</w:t>
      </w:r>
      <w:r>
        <w:t xml:space="preserve"> </w:t>
      </w:r>
      <w:r>
        <w:t xml:space="preserve">25% average engagement rate on Barcelona-focused Instagram posts.</w:t>
      </w:r>
    </w:p>
    <w:bookmarkEnd w:id="28"/>
    <w:bookmarkStart w:id="29" w:name="X71e680bc771ec9b23e8e0ce53ab5b18c9a2d767"/>
    <w:p>
      <w:pPr>
        <w:pStyle w:val="Heading2"/>
      </w:pPr>
      <w:r>
        <w:t xml:space="preserve">Conclusion: Architectural Excellence Rooted in Barcelona</w:t>
      </w:r>
    </w:p>
    <w:p>
      <w:pPr>
        <w:pStyle w:val="FirstParagraph"/>
      </w:pPr>
      <w:r>
        <w:t xml:space="preserve">This Marketing Plan is not merely a business strategy—it is a commitment to elevating Spain Barcelona’s architectural narrative. By embedding our Architect practice within the city’s cultural and regulatory fabric, we convert market challenges (e.g., complex zoning laws) into competitive advantages. We don’t just design buildings; we craft solutions that honor Catalonia’s legacy while embracing its sustainable future. In a city where architecture is identity, this Marketing Plan ensures our firm becomes synonymous with innovation that matters—both to clients and Barcelona itself. As the city evolves toward carbon neutrality, our focus on locally attuned design positions us as essential partners in shaping Spain Barcelona’s next chapter.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Barcelona</dc:title>
  <dc:creator/>
  <dc:language>en</dc:language>
  <cp:keywords/>
  <dcterms:created xsi:type="dcterms:W3CDTF">2025-12-16T04:59:28Z</dcterms:created>
  <dcterms:modified xsi:type="dcterms:W3CDTF">2025-12-16T04:59:28Z</dcterms:modified>
</cp:coreProperties>
</file>

<file path=docProps/custom.xml><?xml version="1.0" encoding="utf-8"?>
<Properties xmlns="http://schemas.openxmlformats.org/officeDocument/2006/custom-properties" xmlns:vt="http://schemas.openxmlformats.org/officeDocument/2006/docPropsVTypes"/>
</file>